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1D05" w14:textId="77777777" w:rsidR="001A627D" w:rsidRPr="001B4D4F" w:rsidRDefault="001A627D" w:rsidP="001B4D4F">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Arial" w:eastAsia="Times New Roman" w:hAnsi="Arial" w:cs="Arial"/>
          <w:b/>
          <w:bCs/>
          <w:kern w:val="36"/>
          <w:sz w:val="28"/>
          <w:szCs w:val="28"/>
          <w:lang w:eastAsia="fr-FR"/>
          <w14:ligatures w14:val="none"/>
        </w:rPr>
      </w:pPr>
      <w:r w:rsidRPr="001B4D4F">
        <w:rPr>
          <w:rFonts w:ascii="Arial" w:eastAsia="Times New Roman" w:hAnsi="Arial" w:cs="Arial"/>
          <w:b/>
          <w:bCs/>
          <w:kern w:val="36"/>
          <w:sz w:val="28"/>
          <w:szCs w:val="28"/>
          <w:highlight w:val="cyan"/>
          <w:lang w:eastAsia="fr-FR"/>
          <w14:ligatures w14:val="none"/>
        </w:rPr>
        <w:t>Cas pratique : “Le patrimoine complexe de la famille Martin”</w:t>
      </w:r>
    </w:p>
    <w:p w14:paraId="5E5F9F2B" w14:textId="77777777" w:rsidR="001A627D" w:rsidRPr="006A542A"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kern w:val="0"/>
          <w:lang w:eastAsia="fr-FR"/>
          <w14:ligatures w14:val="none"/>
        </w:rPr>
        <w:t>La famille Martin possède plusieurs biens et se trouve dans des situations diverses :</w:t>
      </w:r>
    </w:p>
    <w:p w14:paraId="6028F98F" w14:textId="77777777" w:rsidR="00FB432F"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Paul Martin</w:t>
      </w:r>
      <w:r w:rsidRPr="006A542A">
        <w:rPr>
          <w:rFonts w:ascii="Arial" w:eastAsia="Times New Roman" w:hAnsi="Arial" w:cs="Arial"/>
          <w:kern w:val="0"/>
          <w:lang w:eastAsia="fr-FR"/>
          <w14:ligatures w14:val="none"/>
        </w:rPr>
        <w:t>, 17 ans, étudiant, souhaite louer un appartement.</w:t>
      </w:r>
    </w:p>
    <w:p w14:paraId="0FAC79AA" w14:textId="08E54F89"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Claire Martin</w:t>
      </w:r>
      <w:r w:rsidRPr="006A542A">
        <w:rPr>
          <w:rFonts w:ascii="Arial" w:eastAsia="Times New Roman" w:hAnsi="Arial" w:cs="Arial"/>
          <w:kern w:val="0"/>
          <w:lang w:eastAsia="fr-FR"/>
          <w14:ligatures w14:val="none"/>
        </w:rPr>
        <w:t>, 45 ans, mariée avec Jean Martin sous régime de la communauté, veut vendre leur maison familiale.</w:t>
      </w:r>
    </w:p>
    <w:p w14:paraId="3549CDC7" w14:textId="77777777"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Jean Martin</w:t>
      </w:r>
      <w:r w:rsidRPr="006A542A">
        <w:rPr>
          <w:rFonts w:ascii="Arial" w:eastAsia="Times New Roman" w:hAnsi="Arial" w:cs="Arial"/>
          <w:kern w:val="0"/>
          <w:lang w:eastAsia="fr-FR"/>
          <w14:ligatures w14:val="none"/>
        </w:rPr>
        <w:t>, marié, souhaite donner congé à un locataire de leur résidence secondaire.</w:t>
      </w:r>
    </w:p>
    <w:p w14:paraId="0DAFDCAA" w14:textId="77777777"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Marc et Sophie</w:t>
      </w:r>
      <w:r w:rsidRPr="006A542A">
        <w:rPr>
          <w:rFonts w:ascii="Arial" w:eastAsia="Times New Roman" w:hAnsi="Arial" w:cs="Arial"/>
          <w:kern w:val="0"/>
          <w:lang w:eastAsia="fr-FR"/>
          <w14:ligatures w14:val="none"/>
        </w:rPr>
        <w:t>, pacsés, ont acheté ensemble un appartement pour le louer.</w:t>
      </w:r>
    </w:p>
    <w:p w14:paraId="327FF948" w14:textId="77777777"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Lucie et Thomas</w:t>
      </w:r>
      <w:r w:rsidRPr="006A542A">
        <w:rPr>
          <w:rFonts w:ascii="Arial" w:eastAsia="Times New Roman" w:hAnsi="Arial" w:cs="Arial"/>
          <w:kern w:val="0"/>
          <w:lang w:eastAsia="fr-FR"/>
          <w14:ligatures w14:val="none"/>
        </w:rPr>
        <w:t>, concubins, possèdent un studio en indivision.</w:t>
      </w:r>
    </w:p>
    <w:p w14:paraId="183CE4AB" w14:textId="77777777"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La SCI “Martin Immobilier”</w:t>
      </w:r>
      <w:r w:rsidRPr="006A542A">
        <w:rPr>
          <w:rFonts w:ascii="Arial" w:eastAsia="Times New Roman" w:hAnsi="Arial" w:cs="Arial"/>
          <w:kern w:val="0"/>
          <w:lang w:eastAsia="fr-FR"/>
          <w14:ligatures w14:val="none"/>
        </w:rPr>
        <w:t>, gérée par Gérard Martin, possède plusieurs appartements loués.</w:t>
      </w:r>
    </w:p>
    <w:p w14:paraId="498C09E2" w14:textId="77777777"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Héritage</w:t>
      </w:r>
      <w:r w:rsidRPr="006A542A">
        <w:rPr>
          <w:rFonts w:ascii="Arial" w:eastAsia="Times New Roman" w:hAnsi="Arial" w:cs="Arial"/>
          <w:kern w:val="0"/>
          <w:lang w:eastAsia="fr-FR"/>
          <w14:ligatures w14:val="none"/>
        </w:rPr>
        <w:t xml:space="preserve"> : </w:t>
      </w:r>
      <w:proofErr w:type="gramStart"/>
      <w:r w:rsidRPr="006A542A">
        <w:rPr>
          <w:rFonts w:ascii="Arial" w:eastAsia="Times New Roman" w:hAnsi="Arial" w:cs="Arial"/>
          <w:kern w:val="0"/>
          <w:lang w:eastAsia="fr-FR"/>
          <w14:ligatures w14:val="none"/>
        </w:rPr>
        <w:t>suite au</w:t>
      </w:r>
      <w:proofErr w:type="gramEnd"/>
      <w:r w:rsidRPr="006A542A">
        <w:rPr>
          <w:rFonts w:ascii="Arial" w:eastAsia="Times New Roman" w:hAnsi="Arial" w:cs="Arial"/>
          <w:kern w:val="0"/>
          <w:lang w:eastAsia="fr-FR"/>
          <w14:ligatures w14:val="none"/>
        </w:rPr>
        <w:t xml:space="preserve"> décès de tante Jeanne, trois héritiers sont indivisaires sur un appartement.</w:t>
      </w:r>
    </w:p>
    <w:p w14:paraId="216011E0" w14:textId="77777777" w:rsidR="00BF4E1B"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Démembrement</w:t>
      </w:r>
      <w:r w:rsidRPr="006A542A">
        <w:rPr>
          <w:rFonts w:ascii="Arial" w:eastAsia="Times New Roman" w:hAnsi="Arial" w:cs="Arial"/>
          <w:kern w:val="0"/>
          <w:lang w:eastAsia="fr-FR"/>
          <w14:ligatures w14:val="none"/>
        </w:rPr>
        <w:t xml:space="preserve"> : Paul hérite de l’usufruit de l’appartement de sa tante, sa sœur Marie détient la nue-propriété.</w:t>
      </w:r>
    </w:p>
    <w:p w14:paraId="22CA7EBF" w14:textId="45B73B05" w:rsidR="001A627D" w:rsidRDefault="001A627D" w:rsidP="00FB432F">
      <w:pPr>
        <w:spacing w:after="0" w:line="240" w:lineRule="auto"/>
        <w:jc w:val="both"/>
        <w:rPr>
          <w:rFonts w:ascii="Arial" w:eastAsia="Times New Roman" w:hAnsi="Arial" w:cs="Arial"/>
          <w:kern w:val="0"/>
          <w:lang w:eastAsia="fr-FR"/>
          <w14:ligatures w14:val="none"/>
        </w:rPr>
      </w:pPr>
      <w:r w:rsidRPr="006A542A">
        <w:rPr>
          <w:rFonts w:ascii="Arial" w:eastAsia="Times New Roman" w:hAnsi="Arial" w:cs="Arial"/>
          <w:b/>
          <w:bCs/>
          <w:kern w:val="0"/>
          <w:lang w:eastAsia="fr-FR"/>
          <w14:ligatures w14:val="none"/>
        </w:rPr>
        <w:t>Divorce</w:t>
      </w:r>
      <w:r w:rsidRPr="006A542A">
        <w:rPr>
          <w:rFonts w:ascii="Arial" w:eastAsia="Times New Roman" w:hAnsi="Arial" w:cs="Arial"/>
          <w:kern w:val="0"/>
          <w:lang w:eastAsia="fr-FR"/>
          <w14:ligatures w14:val="none"/>
        </w:rPr>
        <w:t xml:space="preserve"> : Claire et Jean sont en instance de divorce. Le juge a attribué le logement familial à Claire.</w:t>
      </w:r>
    </w:p>
    <w:p w14:paraId="156594D5" w14:textId="77777777" w:rsidR="00FB432F" w:rsidRPr="006A542A" w:rsidRDefault="00FB432F" w:rsidP="00FB432F">
      <w:pPr>
        <w:spacing w:after="0" w:line="240" w:lineRule="auto"/>
        <w:jc w:val="both"/>
        <w:rPr>
          <w:rFonts w:ascii="Arial" w:eastAsia="Times New Roman" w:hAnsi="Arial" w:cs="Arial"/>
          <w:kern w:val="0"/>
          <w:lang w:eastAsia="fr-FR"/>
          <w14:ligatures w14:val="none"/>
        </w:rPr>
      </w:pPr>
    </w:p>
    <w:p w14:paraId="6902D1CF" w14:textId="64DB1477" w:rsidR="009833BF" w:rsidRPr="006A542A" w:rsidRDefault="001A627D" w:rsidP="001B4D4F">
      <w:pPr>
        <w:numPr>
          <w:ilvl w:val="0"/>
          <w:numId w:val="1"/>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Paul Martin souhaite louer un appartement pour ses études.</w:t>
      </w:r>
      <w:r w:rsidR="00247233"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doit signer le bail ?</w:t>
      </w:r>
      <w:r w:rsidR="00247233"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 xml:space="preserve">Qui peut donner congé au </w:t>
      </w:r>
      <w:r w:rsidR="00A87B52" w:rsidRPr="006A542A">
        <w:rPr>
          <w:rFonts w:ascii="Arial" w:eastAsia="Times New Roman" w:hAnsi="Arial" w:cs="Arial"/>
          <w:kern w:val="0"/>
          <w:sz w:val="20"/>
          <w:szCs w:val="20"/>
          <w:lang w:eastAsia="fr-FR"/>
          <w14:ligatures w14:val="none"/>
        </w:rPr>
        <w:t>bailleur</w:t>
      </w:r>
      <w:r w:rsidRPr="006A542A">
        <w:rPr>
          <w:rFonts w:ascii="Arial" w:eastAsia="Times New Roman" w:hAnsi="Arial" w:cs="Arial"/>
          <w:kern w:val="0"/>
          <w:sz w:val="20"/>
          <w:szCs w:val="20"/>
          <w:lang w:eastAsia="fr-FR"/>
          <w14:ligatures w14:val="none"/>
        </w:rPr>
        <w:t xml:space="preserve"> si nécessaire ?</w:t>
      </w:r>
    </w:p>
    <w:p w14:paraId="607F4279" w14:textId="77777777" w:rsidR="009833BF" w:rsidRPr="006A542A" w:rsidRDefault="009833BF" w:rsidP="001B4D4F">
      <w:pPr>
        <w:spacing w:after="0" w:line="240" w:lineRule="auto"/>
        <w:ind w:left="720"/>
        <w:rPr>
          <w:rFonts w:ascii="Arial" w:eastAsia="Times New Roman" w:hAnsi="Arial" w:cs="Arial"/>
          <w:kern w:val="0"/>
          <w:sz w:val="20"/>
          <w:szCs w:val="20"/>
          <w:lang w:eastAsia="fr-FR"/>
          <w14:ligatures w14:val="none"/>
        </w:rPr>
      </w:pPr>
    </w:p>
    <w:p w14:paraId="25AE2303" w14:textId="3EA0535B" w:rsidR="001A627D" w:rsidRPr="006A542A" w:rsidRDefault="001A627D" w:rsidP="001B4D4F">
      <w:pPr>
        <w:numPr>
          <w:ilvl w:val="0"/>
          <w:numId w:val="1"/>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Marc et Sophie veulent louer leur appartement acheté en PACS.</w:t>
      </w:r>
      <w:r w:rsidR="007B32E3"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peut signer le bail ?</w:t>
      </w:r>
      <w:r w:rsidR="007B32E3"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Que se passe-t-il si seulement Marc signe ?</w:t>
      </w:r>
    </w:p>
    <w:p w14:paraId="0530BAD4" w14:textId="77777777" w:rsidR="009833BF" w:rsidRPr="006A542A" w:rsidRDefault="009833BF" w:rsidP="001B4D4F">
      <w:pPr>
        <w:spacing w:after="0" w:line="240" w:lineRule="auto"/>
        <w:rPr>
          <w:rFonts w:ascii="Arial" w:eastAsia="Times New Roman" w:hAnsi="Arial" w:cs="Arial"/>
          <w:kern w:val="0"/>
          <w:sz w:val="20"/>
          <w:szCs w:val="20"/>
          <w:lang w:eastAsia="fr-FR"/>
          <w14:ligatures w14:val="none"/>
        </w:rPr>
      </w:pPr>
    </w:p>
    <w:p w14:paraId="31C26B79" w14:textId="594C8084" w:rsidR="001A627D" w:rsidRPr="006A542A" w:rsidRDefault="001A627D" w:rsidP="001B4D4F">
      <w:pPr>
        <w:numPr>
          <w:ilvl w:val="0"/>
          <w:numId w:val="1"/>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Lucie et Thomas souhaitent donner congé à leur locataire.</w:t>
      </w:r>
      <w:r w:rsidR="009833B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Comment doivent-ils procéder ?</w:t>
      </w:r>
      <w:r w:rsidR="009833B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Que se passe-t-il si Thomas refuse ?</w:t>
      </w:r>
    </w:p>
    <w:p w14:paraId="6017D5A8" w14:textId="77777777" w:rsidR="009833BF" w:rsidRPr="006A542A" w:rsidRDefault="009833BF" w:rsidP="001B4D4F">
      <w:pPr>
        <w:spacing w:after="0" w:line="240" w:lineRule="auto"/>
        <w:rPr>
          <w:rFonts w:ascii="Arial" w:eastAsia="Times New Roman" w:hAnsi="Arial" w:cs="Arial"/>
          <w:kern w:val="0"/>
          <w:sz w:val="20"/>
          <w:szCs w:val="20"/>
          <w:lang w:eastAsia="fr-FR"/>
          <w14:ligatures w14:val="none"/>
        </w:rPr>
      </w:pPr>
    </w:p>
    <w:p w14:paraId="7F47EAC9" w14:textId="7A49C7A7" w:rsidR="001A627D" w:rsidRPr="006A542A" w:rsidRDefault="001A627D" w:rsidP="001B4D4F">
      <w:pPr>
        <w:numPr>
          <w:ilvl w:val="0"/>
          <w:numId w:val="1"/>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La SCI “Martin Immobilier” veut renouveler un bail en cours.</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peut légalement signer le renouvellement ?</w:t>
      </w:r>
    </w:p>
    <w:p w14:paraId="0E92EE2D" w14:textId="77777777" w:rsidR="001B4D4F" w:rsidRPr="006A542A" w:rsidRDefault="001B4D4F" w:rsidP="001B4D4F">
      <w:pPr>
        <w:spacing w:after="0" w:line="240" w:lineRule="auto"/>
        <w:rPr>
          <w:rFonts w:ascii="Arial" w:eastAsia="Times New Roman" w:hAnsi="Arial" w:cs="Arial"/>
          <w:kern w:val="0"/>
          <w:sz w:val="20"/>
          <w:szCs w:val="20"/>
          <w:lang w:eastAsia="fr-FR"/>
          <w14:ligatures w14:val="none"/>
        </w:rPr>
      </w:pPr>
    </w:p>
    <w:p w14:paraId="7CC082F7" w14:textId="7EAD7969" w:rsidR="001A627D" w:rsidRPr="006A542A" w:rsidRDefault="001A627D" w:rsidP="001B4D4F">
      <w:pPr>
        <w:numPr>
          <w:ilvl w:val="0"/>
          <w:numId w:val="1"/>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Les héritiers de tante Jeanne souhaitent donner congé à leur locataire.</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Combien d’héritiers doivent être d’accord pour délivrer le congé ?</w:t>
      </w:r>
    </w:p>
    <w:p w14:paraId="062F89C6" w14:textId="77777777" w:rsidR="001B4D4F" w:rsidRPr="006A542A" w:rsidRDefault="001B4D4F" w:rsidP="001B4D4F">
      <w:pPr>
        <w:spacing w:after="0" w:line="240" w:lineRule="auto"/>
        <w:rPr>
          <w:rFonts w:ascii="Arial" w:eastAsia="Times New Roman" w:hAnsi="Arial" w:cs="Arial"/>
          <w:kern w:val="0"/>
          <w:sz w:val="20"/>
          <w:szCs w:val="20"/>
          <w:lang w:eastAsia="fr-FR"/>
          <w14:ligatures w14:val="none"/>
        </w:rPr>
      </w:pPr>
    </w:p>
    <w:p w14:paraId="7B0A5ED7" w14:textId="16192F72" w:rsidR="001A627D" w:rsidRPr="006A542A" w:rsidRDefault="001A627D" w:rsidP="001B4D4F">
      <w:pPr>
        <w:numPr>
          <w:ilvl w:val="0"/>
          <w:numId w:val="1"/>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Dans le cas du démembrement (Paul usufruitier, Marie nue-propriétaire), qui peut délivrer le congé au locataire ?</w:t>
      </w:r>
    </w:p>
    <w:p w14:paraId="641B00A2" w14:textId="77777777" w:rsidR="001B4D4F" w:rsidRPr="006A542A" w:rsidRDefault="001B4D4F" w:rsidP="001B4D4F">
      <w:pPr>
        <w:spacing w:after="0" w:line="240" w:lineRule="auto"/>
        <w:rPr>
          <w:rFonts w:ascii="Arial" w:eastAsia="Times New Roman" w:hAnsi="Arial" w:cs="Arial"/>
          <w:kern w:val="0"/>
          <w:sz w:val="20"/>
          <w:szCs w:val="20"/>
          <w:lang w:eastAsia="fr-FR"/>
          <w14:ligatures w14:val="none"/>
        </w:rPr>
      </w:pPr>
    </w:p>
    <w:p w14:paraId="23559DD7" w14:textId="15C60AAB" w:rsidR="001A627D" w:rsidRPr="006A542A" w:rsidRDefault="001A627D" w:rsidP="001B4D4F">
      <w:pPr>
        <w:numPr>
          <w:ilvl w:val="0"/>
          <w:numId w:val="2"/>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Claire et Jean veulent vendre la maison familiale alors que le divorce est en cours.</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doit donner son accord pour vendre ?</w:t>
      </w:r>
    </w:p>
    <w:p w14:paraId="6B1C8D71" w14:textId="77777777" w:rsidR="001B4D4F" w:rsidRPr="006A542A" w:rsidRDefault="001B4D4F" w:rsidP="001B4D4F">
      <w:pPr>
        <w:spacing w:after="0" w:line="240" w:lineRule="auto"/>
        <w:ind w:left="360"/>
        <w:rPr>
          <w:rFonts w:ascii="Arial" w:eastAsia="Times New Roman" w:hAnsi="Arial" w:cs="Arial"/>
          <w:kern w:val="0"/>
          <w:sz w:val="20"/>
          <w:szCs w:val="20"/>
          <w:lang w:eastAsia="fr-FR"/>
          <w14:ligatures w14:val="none"/>
        </w:rPr>
      </w:pPr>
    </w:p>
    <w:p w14:paraId="3FB658EA" w14:textId="20A290E1" w:rsidR="001A627D" w:rsidRPr="006A542A" w:rsidRDefault="001A627D" w:rsidP="001B4D4F">
      <w:pPr>
        <w:numPr>
          <w:ilvl w:val="0"/>
          <w:numId w:val="2"/>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Les héritiers indivisaires souhaitent vendre l’appartement hérité de tante Jeanne.</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doit être d’accord ?</w:t>
      </w:r>
    </w:p>
    <w:p w14:paraId="72DB1DBF" w14:textId="77777777" w:rsidR="001B4D4F" w:rsidRPr="006A542A" w:rsidRDefault="001B4D4F" w:rsidP="001B4D4F">
      <w:pPr>
        <w:spacing w:after="0" w:line="240" w:lineRule="auto"/>
        <w:rPr>
          <w:rFonts w:ascii="Arial" w:eastAsia="Times New Roman" w:hAnsi="Arial" w:cs="Arial"/>
          <w:kern w:val="0"/>
          <w:sz w:val="20"/>
          <w:szCs w:val="20"/>
          <w:lang w:eastAsia="fr-FR"/>
          <w14:ligatures w14:val="none"/>
        </w:rPr>
      </w:pPr>
    </w:p>
    <w:p w14:paraId="67A7D727" w14:textId="5A973D37" w:rsidR="001A627D" w:rsidRPr="006A542A" w:rsidRDefault="001A627D" w:rsidP="001B4D4F">
      <w:pPr>
        <w:numPr>
          <w:ilvl w:val="0"/>
          <w:numId w:val="2"/>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Paul, usufruitier de l’appartement de sa tante, souhaite vendre le bien.</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Est-ce possible ? Si non, que faut-il faire ?</w:t>
      </w:r>
    </w:p>
    <w:p w14:paraId="614F0FB5" w14:textId="77777777" w:rsidR="001B4D4F" w:rsidRPr="006A542A" w:rsidRDefault="001B4D4F" w:rsidP="001B4D4F">
      <w:pPr>
        <w:spacing w:after="0" w:line="240" w:lineRule="auto"/>
        <w:rPr>
          <w:rFonts w:ascii="Arial" w:eastAsia="Times New Roman" w:hAnsi="Arial" w:cs="Arial"/>
          <w:kern w:val="0"/>
          <w:sz w:val="20"/>
          <w:szCs w:val="20"/>
          <w:lang w:eastAsia="fr-FR"/>
          <w14:ligatures w14:val="none"/>
        </w:rPr>
      </w:pPr>
    </w:p>
    <w:p w14:paraId="72249994" w14:textId="129DA938" w:rsidR="001A627D" w:rsidRPr="006A542A" w:rsidRDefault="001A627D" w:rsidP="001B4D4F">
      <w:pPr>
        <w:numPr>
          <w:ilvl w:val="0"/>
          <w:numId w:val="2"/>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La SCI “Martin Immobilier” veut vendre un appartement de son patrimoine.</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peut décider de la vente selon les statuts ?</w:t>
      </w:r>
    </w:p>
    <w:p w14:paraId="0124B52F" w14:textId="7D79D2AD" w:rsidR="001A627D" w:rsidRPr="006A542A" w:rsidRDefault="001A627D" w:rsidP="001B4D4F">
      <w:pPr>
        <w:spacing w:after="0" w:line="240" w:lineRule="auto"/>
        <w:rPr>
          <w:rFonts w:ascii="Arial" w:eastAsia="Times New Roman" w:hAnsi="Arial" w:cs="Arial"/>
          <w:kern w:val="0"/>
          <w:sz w:val="20"/>
          <w:szCs w:val="20"/>
          <w:lang w:eastAsia="fr-FR"/>
          <w14:ligatures w14:val="none"/>
        </w:rPr>
      </w:pPr>
    </w:p>
    <w:p w14:paraId="760B9A90" w14:textId="4BFD7B8B" w:rsidR="001A627D" w:rsidRPr="006A542A" w:rsidRDefault="001A627D" w:rsidP="001B4D4F">
      <w:pPr>
        <w:numPr>
          <w:ilvl w:val="0"/>
          <w:numId w:val="3"/>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Paul, mineur, souhaite que son parent donne mandat à une agence pour gérer son futur appartement.</w:t>
      </w:r>
      <w:r w:rsidR="001B4D4F" w:rsidRPr="006A542A">
        <w:rPr>
          <w:rFonts w:ascii="Arial" w:eastAsia="Times New Roman" w:hAnsi="Arial" w:cs="Arial"/>
          <w:kern w:val="0"/>
          <w:sz w:val="20"/>
          <w:szCs w:val="20"/>
          <w:lang w:eastAsia="fr-FR"/>
          <w14:ligatures w14:val="none"/>
        </w:rPr>
        <w:t xml:space="preserve"> </w:t>
      </w:r>
      <w:r w:rsidRPr="006A542A">
        <w:rPr>
          <w:rFonts w:ascii="Arial" w:eastAsia="Times New Roman" w:hAnsi="Arial" w:cs="Arial"/>
          <w:kern w:val="0"/>
          <w:sz w:val="20"/>
          <w:szCs w:val="20"/>
          <w:lang w:eastAsia="fr-FR"/>
          <w14:ligatures w14:val="none"/>
        </w:rPr>
        <w:t>Qui peut signer le mandat ?</w:t>
      </w:r>
    </w:p>
    <w:p w14:paraId="0951F12C" w14:textId="77777777" w:rsidR="001B4D4F" w:rsidRPr="006A542A" w:rsidRDefault="001B4D4F" w:rsidP="001B4D4F">
      <w:pPr>
        <w:spacing w:after="0" w:line="240" w:lineRule="auto"/>
        <w:ind w:left="720"/>
        <w:rPr>
          <w:rFonts w:ascii="Arial" w:eastAsia="Times New Roman" w:hAnsi="Arial" w:cs="Arial"/>
          <w:kern w:val="0"/>
          <w:sz w:val="20"/>
          <w:szCs w:val="20"/>
          <w:lang w:eastAsia="fr-FR"/>
          <w14:ligatures w14:val="none"/>
        </w:rPr>
      </w:pPr>
    </w:p>
    <w:p w14:paraId="3BA1E84A" w14:textId="137759A5" w:rsidR="001A627D" w:rsidRPr="002157DC" w:rsidRDefault="001A627D" w:rsidP="002157DC">
      <w:pPr>
        <w:numPr>
          <w:ilvl w:val="0"/>
          <w:numId w:val="3"/>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Les héritiers de tante Jeanne souhaitent donner mandat à une agence pour gérer leur bien.</w:t>
      </w:r>
      <w:r w:rsidR="002157DC">
        <w:rPr>
          <w:rFonts w:ascii="Arial" w:eastAsia="Times New Roman" w:hAnsi="Arial" w:cs="Arial"/>
          <w:kern w:val="0"/>
          <w:sz w:val="20"/>
          <w:szCs w:val="20"/>
          <w:lang w:eastAsia="fr-FR"/>
          <w14:ligatures w14:val="none"/>
        </w:rPr>
        <w:t xml:space="preserve"> </w:t>
      </w:r>
      <w:r w:rsidRPr="002157DC">
        <w:rPr>
          <w:rFonts w:ascii="Arial" w:eastAsia="Times New Roman" w:hAnsi="Arial" w:cs="Arial"/>
          <w:kern w:val="0"/>
          <w:sz w:val="20"/>
          <w:szCs w:val="20"/>
          <w:lang w:eastAsia="fr-FR"/>
          <w14:ligatures w14:val="none"/>
        </w:rPr>
        <w:t>Qui peut signer le mandat ?</w:t>
      </w:r>
    </w:p>
    <w:p w14:paraId="4D5941F0" w14:textId="45942E5C" w:rsidR="001A627D" w:rsidRPr="006A542A" w:rsidRDefault="001A627D" w:rsidP="001B4D4F">
      <w:pPr>
        <w:spacing w:after="0" w:line="240" w:lineRule="auto"/>
        <w:rPr>
          <w:rFonts w:ascii="Arial" w:eastAsia="Times New Roman" w:hAnsi="Arial" w:cs="Arial"/>
          <w:kern w:val="0"/>
          <w:sz w:val="20"/>
          <w:szCs w:val="20"/>
          <w:lang w:eastAsia="fr-FR"/>
          <w14:ligatures w14:val="none"/>
        </w:rPr>
      </w:pPr>
    </w:p>
    <w:p w14:paraId="5A9E8BAE" w14:textId="77777777" w:rsidR="001A627D" w:rsidRDefault="001A627D" w:rsidP="001B4D4F">
      <w:pPr>
        <w:numPr>
          <w:ilvl w:val="0"/>
          <w:numId w:val="4"/>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Si Lucie et Thomas (concubins en indivision) veulent vendre leur studio mais sont en désaccord, que peut faire le professionnel immobilier ?</w:t>
      </w:r>
    </w:p>
    <w:p w14:paraId="51D931D9" w14:textId="77777777" w:rsidR="00FB432F" w:rsidRPr="006A542A" w:rsidRDefault="00FB432F" w:rsidP="00FB432F">
      <w:pPr>
        <w:spacing w:after="0" w:line="240" w:lineRule="auto"/>
        <w:ind w:left="720"/>
        <w:rPr>
          <w:rFonts w:ascii="Arial" w:eastAsia="Times New Roman" w:hAnsi="Arial" w:cs="Arial"/>
          <w:kern w:val="0"/>
          <w:sz w:val="20"/>
          <w:szCs w:val="20"/>
          <w:lang w:eastAsia="fr-FR"/>
          <w14:ligatures w14:val="none"/>
        </w:rPr>
      </w:pPr>
    </w:p>
    <w:p w14:paraId="53941872" w14:textId="34F07D64" w:rsidR="00C46A72" w:rsidRDefault="001A627D" w:rsidP="00BF4E1B">
      <w:pPr>
        <w:numPr>
          <w:ilvl w:val="0"/>
          <w:numId w:val="4"/>
        </w:numPr>
        <w:spacing w:after="0" w:line="240" w:lineRule="auto"/>
        <w:rPr>
          <w:rFonts w:ascii="Arial" w:eastAsia="Times New Roman" w:hAnsi="Arial" w:cs="Arial"/>
          <w:kern w:val="0"/>
          <w:sz w:val="20"/>
          <w:szCs w:val="20"/>
          <w:lang w:eastAsia="fr-FR"/>
          <w14:ligatures w14:val="none"/>
        </w:rPr>
      </w:pPr>
      <w:r w:rsidRPr="006A542A">
        <w:rPr>
          <w:rFonts w:ascii="Arial" w:eastAsia="Times New Roman" w:hAnsi="Arial" w:cs="Arial"/>
          <w:kern w:val="0"/>
          <w:sz w:val="20"/>
          <w:szCs w:val="20"/>
          <w:lang w:eastAsia="fr-FR"/>
          <w14:ligatures w14:val="none"/>
        </w:rPr>
        <w:t>Dans le cadre de la SCI, si le gérant souhaite vendre un appartement mais les statuts exigent l’accord des associés, comment procéder ?</w:t>
      </w:r>
    </w:p>
    <w:p w14:paraId="381CFCBF" w14:textId="77777777" w:rsidR="00FB432F" w:rsidRDefault="00FB432F" w:rsidP="00FB432F">
      <w:pPr>
        <w:pStyle w:val="Paragraphedeliste"/>
        <w:rPr>
          <w:rFonts w:ascii="Arial" w:eastAsia="Times New Roman" w:hAnsi="Arial" w:cs="Arial"/>
          <w:kern w:val="0"/>
          <w:sz w:val="20"/>
          <w:szCs w:val="20"/>
          <w:lang w:eastAsia="fr-FR"/>
          <w14:ligatures w14:val="none"/>
        </w:rPr>
      </w:pPr>
    </w:p>
    <w:p w14:paraId="65639376" w14:textId="77777777" w:rsidR="00FB432F" w:rsidRDefault="00FB432F" w:rsidP="00FB432F">
      <w:pPr>
        <w:spacing w:after="0" w:line="240" w:lineRule="auto"/>
        <w:rPr>
          <w:rFonts w:ascii="Arial" w:eastAsia="Times New Roman" w:hAnsi="Arial" w:cs="Arial"/>
          <w:kern w:val="0"/>
          <w:sz w:val="20"/>
          <w:szCs w:val="20"/>
          <w:lang w:eastAsia="fr-FR"/>
          <w14:ligatures w14:val="none"/>
        </w:rPr>
      </w:pPr>
    </w:p>
    <w:p w14:paraId="166C5BF7" w14:textId="77777777" w:rsidR="00FB432F" w:rsidRDefault="00FB432F" w:rsidP="00FB432F">
      <w:pPr>
        <w:spacing w:after="0" w:line="240" w:lineRule="auto"/>
        <w:rPr>
          <w:rFonts w:ascii="Arial" w:eastAsia="Times New Roman" w:hAnsi="Arial" w:cs="Arial"/>
          <w:kern w:val="0"/>
          <w:sz w:val="20"/>
          <w:szCs w:val="20"/>
          <w:lang w:eastAsia="fr-FR"/>
          <w14:ligatures w14:val="none"/>
        </w:rPr>
      </w:pPr>
    </w:p>
    <w:p w14:paraId="5ED836AC" w14:textId="77777777" w:rsidR="00FB432F" w:rsidRDefault="00FB432F" w:rsidP="00FB432F">
      <w:pPr>
        <w:spacing w:after="0" w:line="240" w:lineRule="auto"/>
        <w:rPr>
          <w:rFonts w:ascii="Arial" w:eastAsia="Times New Roman" w:hAnsi="Arial" w:cs="Arial"/>
          <w:kern w:val="0"/>
          <w:sz w:val="20"/>
          <w:szCs w:val="20"/>
          <w:lang w:eastAsia="fr-FR"/>
          <w14:ligatures w14:val="none"/>
        </w:rPr>
      </w:pPr>
    </w:p>
    <w:p w14:paraId="168D1BCD" w14:textId="77777777" w:rsidR="00FB432F" w:rsidRPr="00BF4E1B" w:rsidRDefault="00FB432F" w:rsidP="00FB432F">
      <w:pPr>
        <w:spacing w:after="0" w:line="240" w:lineRule="auto"/>
        <w:rPr>
          <w:rFonts w:ascii="Arial" w:eastAsia="Times New Roman" w:hAnsi="Arial" w:cs="Arial"/>
          <w:kern w:val="0"/>
          <w:sz w:val="20"/>
          <w:szCs w:val="20"/>
          <w:lang w:eastAsia="fr-FR"/>
          <w14:ligatures w14:val="none"/>
        </w:rPr>
      </w:pPr>
    </w:p>
    <w:p w14:paraId="2E9A75C5" w14:textId="77777777" w:rsidR="00C46A72" w:rsidRDefault="00C46A72" w:rsidP="006A542A">
      <w:pPr>
        <w:spacing w:after="0" w:line="240" w:lineRule="auto"/>
        <w:ind w:left="720"/>
        <w:rPr>
          <w:rFonts w:ascii="Arial" w:eastAsia="Times New Roman" w:hAnsi="Arial" w:cs="Arial"/>
          <w:kern w:val="0"/>
          <w:sz w:val="24"/>
          <w:szCs w:val="24"/>
          <w:lang w:eastAsia="fr-FR"/>
          <w14:ligatures w14:val="none"/>
        </w:rPr>
      </w:pPr>
    </w:p>
    <w:p w14:paraId="32CE5984" w14:textId="77777777" w:rsidR="00C46A72" w:rsidRPr="00C46A72" w:rsidRDefault="00C46A72" w:rsidP="00C46A7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kern w:val="0"/>
          <w:sz w:val="28"/>
          <w:szCs w:val="28"/>
          <w:lang w:eastAsia="fr-FR"/>
          <w14:ligatures w14:val="none"/>
        </w:rPr>
      </w:pPr>
      <w:r w:rsidRPr="00C46A72">
        <w:rPr>
          <w:rFonts w:ascii="Arial" w:eastAsia="Times New Roman" w:hAnsi="Arial" w:cs="Arial"/>
          <w:b/>
          <w:bCs/>
          <w:kern w:val="0"/>
          <w:sz w:val="28"/>
          <w:szCs w:val="28"/>
          <w:highlight w:val="cyan"/>
          <w:lang w:eastAsia="fr-FR"/>
          <w14:ligatures w14:val="none"/>
        </w:rPr>
        <w:lastRenderedPageBreak/>
        <w:t>Cas pratique – Suite : Complexités supplémentaires du patrimoine Martin</w:t>
      </w:r>
    </w:p>
    <w:p w14:paraId="3FFE1C33" w14:textId="77777777" w:rsidR="00C46A72" w:rsidRDefault="00C46A72" w:rsidP="00C46A72">
      <w:pPr>
        <w:spacing w:after="0" w:line="240" w:lineRule="auto"/>
        <w:rPr>
          <w:rFonts w:ascii="Arial" w:eastAsia="Times New Roman" w:hAnsi="Arial" w:cs="Arial"/>
          <w:b/>
          <w:bCs/>
          <w:kern w:val="0"/>
          <w:sz w:val="24"/>
          <w:szCs w:val="24"/>
          <w:lang w:eastAsia="fr-FR"/>
          <w14:ligatures w14:val="none"/>
        </w:rPr>
      </w:pPr>
    </w:p>
    <w:p w14:paraId="6E7F941E" w14:textId="5A350B44" w:rsidR="00C46A72" w:rsidRPr="00C46A72" w:rsidRDefault="00C46A72" w:rsidP="00BF4E1B">
      <w:pPr>
        <w:spacing w:after="0" w:line="240" w:lineRule="auto"/>
        <w:jc w:val="both"/>
        <w:rPr>
          <w:rFonts w:ascii="Arial" w:eastAsia="Times New Roman" w:hAnsi="Arial" w:cs="Arial"/>
          <w:kern w:val="0"/>
          <w:lang w:eastAsia="fr-FR"/>
          <w14:ligatures w14:val="none"/>
        </w:rPr>
      </w:pPr>
      <w:r w:rsidRPr="00C46A72">
        <w:rPr>
          <w:rFonts w:ascii="Arial" w:eastAsia="Times New Roman" w:hAnsi="Arial" w:cs="Arial"/>
          <w:b/>
          <w:bCs/>
          <w:kern w:val="0"/>
          <w:lang w:eastAsia="fr-FR"/>
          <w14:ligatures w14:val="none"/>
        </w:rPr>
        <w:t>Paul Martin</w:t>
      </w:r>
      <w:r w:rsidRPr="00C46A72">
        <w:rPr>
          <w:rFonts w:ascii="Arial" w:eastAsia="Times New Roman" w:hAnsi="Arial" w:cs="Arial"/>
          <w:kern w:val="0"/>
          <w:lang w:eastAsia="fr-FR"/>
          <w14:ligatures w14:val="none"/>
        </w:rPr>
        <w:t xml:space="preserve">, désormais </w:t>
      </w:r>
      <w:r w:rsidRPr="00C46A72">
        <w:rPr>
          <w:rFonts w:ascii="Arial" w:eastAsia="Times New Roman" w:hAnsi="Arial" w:cs="Arial"/>
          <w:b/>
          <w:bCs/>
          <w:kern w:val="0"/>
          <w:lang w:eastAsia="fr-FR"/>
          <w14:ligatures w14:val="none"/>
        </w:rPr>
        <w:t>majeur mais placé sous tutelle</w:t>
      </w:r>
      <w:r w:rsidRPr="00C46A72">
        <w:rPr>
          <w:rFonts w:ascii="Arial" w:eastAsia="Times New Roman" w:hAnsi="Arial" w:cs="Arial"/>
          <w:kern w:val="0"/>
          <w:lang w:eastAsia="fr-FR"/>
          <w14:ligatures w14:val="none"/>
        </w:rPr>
        <w:t>, souhaite vendre l’appartement dont il détient l’</w:t>
      </w:r>
      <w:r w:rsidRPr="00C46A72">
        <w:rPr>
          <w:rFonts w:ascii="Arial" w:eastAsia="Times New Roman" w:hAnsi="Arial" w:cs="Arial"/>
          <w:b/>
          <w:bCs/>
          <w:kern w:val="0"/>
          <w:lang w:eastAsia="fr-FR"/>
          <w14:ligatures w14:val="none"/>
        </w:rPr>
        <w:t>usufruit</w:t>
      </w:r>
      <w:r w:rsidRPr="00C46A72">
        <w:rPr>
          <w:rFonts w:ascii="Arial" w:eastAsia="Times New Roman" w:hAnsi="Arial" w:cs="Arial"/>
          <w:kern w:val="0"/>
          <w:lang w:eastAsia="fr-FR"/>
          <w14:ligatures w14:val="none"/>
        </w:rPr>
        <w:t xml:space="preserve"> </w:t>
      </w:r>
      <w:proofErr w:type="gramStart"/>
      <w:r w:rsidRPr="00C46A72">
        <w:rPr>
          <w:rFonts w:ascii="Arial" w:eastAsia="Times New Roman" w:hAnsi="Arial" w:cs="Arial"/>
          <w:kern w:val="0"/>
          <w:lang w:eastAsia="fr-FR"/>
          <w14:ligatures w14:val="none"/>
        </w:rPr>
        <w:t>suite à</w:t>
      </w:r>
      <w:proofErr w:type="gramEnd"/>
      <w:r w:rsidRPr="00C46A72">
        <w:rPr>
          <w:rFonts w:ascii="Arial" w:eastAsia="Times New Roman" w:hAnsi="Arial" w:cs="Arial"/>
          <w:kern w:val="0"/>
          <w:lang w:eastAsia="fr-FR"/>
          <w14:ligatures w14:val="none"/>
        </w:rPr>
        <w:t xml:space="preserve"> l’héritage de sa tante. </w:t>
      </w:r>
    </w:p>
    <w:p w14:paraId="2F623025" w14:textId="77777777" w:rsidR="00C46A72" w:rsidRPr="00C46A72" w:rsidRDefault="00C46A72" w:rsidP="00BF4E1B">
      <w:pPr>
        <w:spacing w:after="0" w:line="240" w:lineRule="auto"/>
        <w:jc w:val="both"/>
        <w:rPr>
          <w:rFonts w:ascii="Arial" w:eastAsia="Times New Roman" w:hAnsi="Arial" w:cs="Arial"/>
          <w:kern w:val="0"/>
          <w:lang w:eastAsia="fr-FR"/>
          <w14:ligatures w14:val="none"/>
        </w:rPr>
      </w:pPr>
      <w:r w:rsidRPr="00C46A72">
        <w:rPr>
          <w:rFonts w:ascii="Arial" w:eastAsia="Times New Roman" w:hAnsi="Arial" w:cs="Arial"/>
          <w:b/>
          <w:bCs/>
          <w:kern w:val="0"/>
          <w:lang w:eastAsia="fr-FR"/>
          <w14:ligatures w14:val="none"/>
        </w:rPr>
        <w:t>Claire Martin</w:t>
      </w:r>
      <w:r w:rsidRPr="00C46A72">
        <w:rPr>
          <w:rFonts w:ascii="Arial" w:eastAsia="Times New Roman" w:hAnsi="Arial" w:cs="Arial"/>
          <w:kern w:val="0"/>
          <w:lang w:eastAsia="fr-FR"/>
          <w14:ligatures w14:val="none"/>
        </w:rPr>
        <w:t xml:space="preserve">, mariée à Jean sous </w:t>
      </w:r>
      <w:r w:rsidRPr="00C46A72">
        <w:rPr>
          <w:rFonts w:ascii="Arial" w:eastAsia="Times New Roman" w:hAnsi="Arial" w:cs="Arial"/>
          <w:b/>
          <w:bCs/>
          <w:kern w:val="0"/>
          <w:lang w:eastAsia="fr-FR"/>
          <w14:ligatures w14:val="none"/>
        </w:rPr>
        <w:t>régime de séparation de biens</w:t>
      </w:r>
      <w:r w:rsidRPr="00C46A72">
        <w:rPr>
          <w:rFonts w:ascii="Arial" w:eastAsia="Times New Roman" w:hAnsi="Arial" w:cs="Arial"/>
          <w:kern w:val="0"/>
          <w:lang w:eastAsia="fr-FR"/>
          <w14:ligatures w14:val="none"/>
        </w:rPr>
        <w:t xml:space="preserve">, est en cours de divorce. Elle souhaite vendre un </w:t>
      </w:r>
      <w:r w:rsidRPr="00C46A72">
        <w:rPr>
          <w:rFonts w:ascii="Arial" w:eastAsia="Times New Roman" w:hAnsi="Arial" w:cs="Arial"/>
          <w:b/>
          <w:bCs/>
          <w:kern w:val="0"/>
          <w:lang w:eastAsia="fr-FR"/>
          <w14:ligatures w14:val="none"/>
        </w:rPr>
        <w:t>appartement dont elle est propriétaire exclusive</w:t>
      </w:r>
      <w:r w:rsidRPr="00C46A72">
        <w:rPr>
          <w:rFonts w:ascii="Arial" w:eastAsia="Times New Roman" w:hAnsi="Arial" w:cs="Arial"/>
          <w:kern w:val="0"/>
          <w:lang w:eastAsia="fr-FR"/>
          <w14:ligatures w14:val="none"/>
        </w:rPr>
        <w:t xml:space="preserve">, mais la maison familiale lui a été attribuée judiciairement. </w:t>
      </w:r>
    </w:p>
    <w:p w14:paraId="64DDCEFC" w14:textId="77777777" w:rsidR="00C46A72" w:rsidRPr="00C46A72" w:rsidRDefault="00C46A72" w:rsidP="00BF4E1B">
      <w:pPr>
        <w:spacing w:after="0" w:line="240" w:lineRule="auto"/>
        <w:jc w:val="both"/>
        <w:rPr>
          <w:rFonts w:ascii="Arial" w:eastAsia="Times New Roman" w:hAnsi="Arial" w:cs="Arial"/>
          <w:kern w:val="0"/>
          <w:lang w:eastAsia="fr-FR"/>
          <w14:ligatures w14:val="none"/>
        </w:rPr>
      </w:pPr>
      <w:r w:rsidRPr="00C46A72">
        <w:rPr>
          <w:rFonts w:ascii="Arial" w:eastAsia="Times New Roman" w:hAnsi="Arial" w:cs="Arial"/>
          <w:b/>
          <w:bCs/>
          <w:kern w:val="0"/>
          <w:lang w:eastAsia="fr-FR"/>
          <w14:ligatures w14:val="none"/>
        </w:rPr>
        <w:t>Jean Martin</w:t>
      </w:r>
      <w:r w:rsidRPr="00C46A72">
        <w:rPr>
          <w:rFonts w:ascii="Arial" w:eastAsia="Times New Roman" w:hAnsi="Arial" w:cs="Arial"/>
          <w:kern w:val="0"/>
          <w:lang w:eastAsia="fr-FR"/>
          <w14:ligatures w14:val="none"/>
        </w:rPr>
        <w:t xml:space="preserve">, propriétaire d’un appartement sous son régime de séparation de biens, envisage de louer ce bien et de donner congé au locataire. </w:t>
      </w:r>
    </w:p>
    <w:p w14:paraId="2C5A87B1" w14:textId="77777777" w:rsidR="00C46A72" w:rsidRPr="00C46A72" w:rsidRDefault="00C46A72" w:rsidP="00BF4E1B">
      <w:pPr>
        <w:spacing w:after="0" w:line="240" w:lineRule="auto"/>
        <w:jc w:val="both"/>
        <w:rPr>
          <w:rFonts w:ascii="Arial" w:eastAsia="Times New Roman" w:hAnsi="Arial" w:cs="Arial"/>
          <w:kern w:val="0"/>
          <w:lang w:eastAsia="fr-FR"/>
          <w14:ligatures w14:val="none"/>
        </w:rPr>
      </w:pPr>
      <w:r w:rsidRPr="00C46A72">
        <w:rPr>
          <w:rFonts w:ascii="Arial" w:eastAsia="Times New Roman" w:hAnsi="Arial" w:cs="Arial"/>
          <w:b/>
          <w:bCs/>
          <w:kern w:val="0"/>
          <w:lang w:eastAsia="fr-FR"/>
          <w14:ligatures w14:val="none"/>
        </w:rPr>
        <w:t>Lucie et Thomas</w:t>
      </w:r>
      <w:r w:rsidRPr="00C46A72">
        <w:rPr>
          <w:rFonts w:ascii="Arial" w:eastAsia="Times New Roman" w:hAnsi="Arial" w:cs="Arial"/>
          <w:kern w:val="0"/>
          <w:lang w:eastAsia="fr-FR"/>
          <w14:ligatures w14:val="none"/>
        </w:rPr>
        <w:t xml:space="preserve">, concubins en indivision, voient apparaître </w:t>
      </w:r>
      <w:r w:rsidRPr="00C46A72">
        <w:rPr>
          <w:rFonts w:ascii="Arial" w:eastAsia="Times New Roman" w:hAnsi="Arial" w:cs="Arial"/>
          <w:b/>
          <w:bCs/>
          <w:kern w:val="0"/>
          <w:lang w:eastAsia="fr-FR"/>
          <w14:ligatures w14:val="none"/>
        </w:rPr>
        <w:t>une problématique familiale</w:t>
      </w:r>
      <w:r w:rsidRPr="00C46A72">
        <w:rPr>
          <w:rFonts w:ascii="Arial" w:eastAsia="Times New Roman" w:hAnsi="Arial" w:cs="Arial"/>
          <w:kern w:val="0"/>
          <w:lang w:eastAsia="fr-FR"/>
          <w14:ligatures w14:val="none"/>
        </w:rPr>
        <w:t xml:space="preserve"> : Thomas devient majeur protégé </w:t>
      </w:r>
      <w:proofErr w:type="gramStart"/>
      <w:r w:rsidRPr="00C46A72">
        <w:rPr>
          <w:rFonts w:ascii="Arial" w:eastAsia="Times New Roman" w:hAnsi="Arial" w:cs="Arial"/>
          <w:kern w:val="0"/>
          <w:lang w:eastAsia="fr-FR"/>
          <w14:ligatures w14:val="none"/>
        </w:rPr>
        <w:t>suite à un</w:t>
      </w:r>
      <w:proofErr w:type="gramEnd"/>
      <w:r w:rsidRPr="00C46A72">
        <w:rPr>
          <w:rFonts w:ascii="Arial" w:eastAsia="Times New Roman" w:hAnsi="Arial" w:cs="Arial"/>
          <w:kern w:val="0"/>
          <w:lang w:eastAsia="fr-FR"/>
          <w14:ligatures w14:val="none"/>
        </w:rPr>
        <w:t xml:space="preserve"> accident, et Lucie souhaite vendre le studio indivis. </w:t>
      </w:r>
    </w:p>
    <w:p w14:paraId="28146B97" w14:textId="77777777" w:rsidR="00C46A72" w:rsidRPr="00C46A72" w:rsidRDefault="00C46A72" w:rsidP="00BF4E1B">
      <w:pPr>
        <w:spacing w:after="0" w:line="240" w:lineRule="auto"/>
        <w:jc w:val="both"/>
        <w:rPr>
          <w:rFonts w:ascii="Arial" w:eastAsia="Times New Roman" w:hAnsi="Arial" w:cs="Arial"/>
          <w:kern w:val="0"/>
          <w:lang w:eastAsia="fr-FR"/>
          <w14:ligatures w14:val="none"/>
        </w:rPr>
      </w:pPr>
      <w:r w:rsidRPr="00C46A72">
        <w:rPr>
          <w:rFonts w:ascii="Arial" w:eastAsia="Times New Roman" w:hAnsi="Arial" w:cs="Arial"/>
          <w:kern w:val="0"/>
          <w:lang w:eastAsia="fr-FR"/>
          <w14:ligatures w14:val="none"/>
        </w:rPr>
        <w:t xml:space="preserve">Les </w:t>
      </w:r>
      <w:r w:rsidRPr="00C46A72">
        <w:rPr>
          <w:rFonts w:ascii="Arial" w:eastAsia="Times New Roman" w:hAnsi="Arial" w:cs="Arial"/>
          <w:b/>
          <w:bCs/>
          <w:kern w:val="0"/>
          <w:lang w:eastAsia="fr-FR"/>
          <w14:ligatures w14:val="none"/>
        </w:rPr>
        <w:t>héritiers indivisaires de tante Jeanne</w:t>
      </w:r>
      <w:r w:rsidRPr="00C46A72">
        <w:rPr>
          <w:rFonts w:ascii="Arial" w:eastAsia="Times New Roman" w:hAnsi="Arial" w:cs="Arial"/>
          <w:kern w:val="0"/>
          <w:lang w:eastAsia="fr-FR"/>
          <w14:ligatures w14:val="none"/>
        </w:rPr>
        <w:t xml:space="preserve"> doivent gérer un appartement en indivision, mais l’un des héritiers est sous </w:t>
      </w:r>
      <w:r w:rsidRPr="00C46A72">
        <w:rPr>
          <w:rFonts w:ascii="Arial" w:eastAsia="Times New Roman" w:hAnsi="Arial" w:cs="Arial"/>
          <w:b/>
          <w:bCs/>
          <w:kern w:val="0"/>
          <w:lang w:eastAsia="fr-FR"/>
          <w14:ligatures w14:val="none"/>
        </w:rPr>
        <w:t>curatelle renforcée</w:t>
      </w:r>
      <w:r w:rsidRPr="00C46A72">
        <w:rPr>
          <w:rFonts w:ascii="Arial" w:eastAsia="Times New Roman" w:hAnsi="Arial" w:cs="Arial"/>
          <w:kern w:val="0"/>
          <w:lang w:eastAsia="fr-FR"/>
          <w14:ligatures w14:val="none"/>
        </w:rPr>
        <w:t xml:space="preserve">. </w:t>
      </w:r>
    </w:p>
    <w:p w14:paraId="327054FA" w14:textId="77777777" w:rsidR="00C46A72" w:rsidRPr="00C46A72" w:rsidRDefault="00C46A72" w:rsidP="00BF4E1B">
      <w:pPr>
        <w:spacing w:after="0" w:line="240" w:lineRule="auto"/>
        <w:jc w:val="both"/>
        <w:rPr>
          <w:rFonts w:ascii="Arial" w:eastAsia="Times New Roman" w:hAnsi="Arial" w:cs="Arial"/>
          <w:kern w:val="0"/>
          <w:lang w:eastAsia="fr-FR"/>
          <w14:ligatures w14:val="none"/>
        </w:rPr>
      </w:pPr>
      <w:r w:rsidRPr="00C46A72">
        <w:rPr>
          <w:rFonts w:ascii="Arial" w:eastAsia="Times New Roman" w:hAnsi="Arial" w:cs="Arial"/>
          <w:kern w:val="0"/>
          <w:lang w:eastAsia="fr-FR"/>
          <w14:ligatures w14:val="none"/>
        </w:rPr>
        <w:t xml:space="preserve">La </w:t>
      </w:r>
      <w:r w:rsidRPr="00C46A72">
        <w:rPr>
          <w:rFonts w:ascii="Arial" w:eastAsia="Times New Roman" w:hAnsi="Arial" w:cs="Arial"/>
          <w:b/>
          <w:bCs/>
          <w:kern w:val="0"/>
          <w:lang w:eastAsia="fr-FR"/>
          <w14:ligatures w14:val="none"/>
        </w:rPr>
        <w:t>SCI “Martin Immobilier”</w:t>
      </w:r>
      <w:r w:rsidRPr="00C46A72">
        <w:rPr>
          <w:rFonts w:ascii="Arial" w:eastAsia="Times New Roman" w:hAnsi="Arial" w:cs="Arial"/>
          <w:kern w:val="0"/>
          <w:lang w:eastAsia="fr-FR"/>
          <w14:ligatures w14:val="none"/>
        </w:rPr>
        <w:t>, gérée par Gérard Martin, envisage de vendre un appartement mais certains associés sont désormais majeurs protégés (curatelle ou tutelle).</w:t>
      </w:r>
    </w:p>
    <w:p w14:paraId="2B5C28D2" w14:textId="77777777" w:rsidR="00C46A72" w:rsidRDefault="00C46A72" w:rsidP="006A542A">
      <w:pPr>
        <w:spacing w:after="0" w:line="240" w:lineRule="auto"/>
        <w:ind w:left="720"/>
        <w:rPr>
          <w:rFonts w:ascii="Arial" w:eastAsia="Times New Roman" w:hAnsi="Arial" w:cs="Arial"/>
          <w:kern w:val="0"/>
          <w:sz w:val="24"/>
          <w:szCs w:val="24"/>
          <w:lang w:eastAsia="fr-FR"/>
          <w14:ligatures w14:val="none"/>
        </w:rPr>
      </w:pPr>
    </w:p>
    <w:p w14:paraId="400AAE2E" w14:textId="77777777" w:rsidR="00C46A72" w:rsidRDefault="00C46A72" w:rsidP="006A542A">
      <w:pPr>
        <w:spacing w:after="0" w:line="240" w:lineRule="auto"/>
        <w:ind w:left="720"/>
        <w:rPr>
          <w:rFonts w:ascii="Arial" w:eastAsia="Times New Roman" w:hAnsi="Arial" w:cs="Arial"/>
          <w:kern w:val="0"/>
          <w:sz w:val="24"/>
          <w:szCs w:val="24"/>
          <w:lang w:eastAsia="fr-FR"/>
          <w14:ligatures w14:val="none"/>
        </w:rPr>
      </w:pPr>
    </w:p>
    <w:p w14:paraId="5F845909" w14:textId="0B61E47A" w:rsidR="00C46A72" w:rsidRDefault="00C46A72" w:rsidP="00C46A72">
      <w:pPr>
        <w:pStyle w:val="Paragraphedeliste"/>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Paul Martin, majeur sous tutelle, souhaite louer son appartement en usufruit. Qui peut signer le bail ? Qui peut donner congé au locataire ?</w:t>
      </w:r>
    </w:p>
    <w:p w14:paraId="6FD3BA48" w14:textId="77777777" w:rsidR="00203DF8" w:rsidRPr="00C46A72" w:rsidRDefault="00203DF8" w:rsidP="00203DF8">
      <w:pPr>
        <w:pStyle w:val="Paragraphedeliste"/>
        <w:spacing w:after="0" w:line="240" w:lineRule="auto"/>
        <w:rPr>
          <w:rFonts w:ascii="Arial" w:eastAsia="Times New Roman" w:hAnsi="Arial" w:cs="Arial"/>
          <w:kern w:val="0"/>
          <w:sz w:val="20"/>
          <w:szCs w:val="20"/>
          <w:lang w:eastAsia="fr-FR"/>
          <w14:ligatures w14:val="none"/>
        </w:rPr>
      </w:pPr>
    </w:p>
    <w:p w14:paraId="6EBCFFA5" w14:textId="0B17B068" w:rsidR="00C46A72" w:rsidRDefault="00C46A72" w:rsidP="00C46A72">
      <w:pPr>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 xml:space="preserve">Jean Martin veut donner congé à un locataire de son bien propre sous séparation de biens. Peut-il agir seul ? Que se passe-t-il si le bien était en indivision avec son ex-épouse ? </w:t>
      </w:r>
    </w:p>
    <w:p w14:paraId="5EB74241" w14:textId="77777777" w:rsidR="00203DF8" w:rsidRPr="00C46A72" w:rsidRDefault="00203DF8" w:rsidP="00203DF8">
      <w:pPr>
        <w:spacing w:after="0" w:line="240" w:lineRule="auto"/>
        <w:rPr>
          <w:rFonts w:ascii="Arial" w:eastAsia="Times New Roman" w:hAnsi="Arial" w:cs="Arial"/>
          <w:kern w:val="0"/>
          <w:sz w:val="20"/>
          <w:szCs w:val="20"/>
          <w:lang w:eastAsia="fr-FR"/>
          <w14:ligatures w14:val="none"/>
        </w:rPr>
      </w:pPr>
    </w:p>
    <w:p w14:paraId="1FBAFD65" w14:textId="0943A1C2" w:rsidR="00C46A72" w:rsidRPr="00C46A72" w:rsidRDefault="00C46A72" w:rsidP="00C46A72">
      <w:pPr>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 xml:space="preserve">Lucie et Thomas, dont Thomas est maintenant majeur protégé, veulent vendre leur studio en indivision. Comment procéder ? Faut-il l’autorisation du juge des tutelles pour Thomas ? </w:t>
      </w:r>
    </w:p>
    <w:p w14:paraId="6397CD1A" w14:textId="02A141D5" w:rsidR="00C46A72" w:rsidRPr="00C46A72" w:rsidRDefault="00C46A72" w:rsidP="00C46A72">
      <w:pPr>
        <w:spacing w:after="0" w:line="240" w:lineRule="auto"/>
        <w:ind w:left="720"/>
        <w:rPr>
          <w:rFonts w:ascii="Arial" w:eastAsia="Times New Roman" w:hAnsi="Arial" w:cs="Arial"/>
          <w:kern w:val="0"/>
          <w:sz w:val="20"/>
          <w:szCs w:val="20"/>
          <w:lang w:eastAsia="fr-FR"/>
          <w14:ligatures w14:val="none"/>
        </w:rPr>
      </w:pPr>
    </w:p>
    <w:p w14:paraId="50DE2870" w14:textId="35173AEE" w:rsidR="00C46A72" w:rsidRDefault="00C46A72" w:rsidP="00C46A72">
      <w:pPr>
        <w:pStyle w:val="Paragraphedeliste"/>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 xml:space="preserve">Paul, usufruitier et majeur protégé, souhaite vendre son usufruit. Est-ce possible ? Quelle est la procédure à suivre ? </w:t>
      </w:r>
    </w:p>
    <w:p w14:paraId="59730208" w14:textId="77777777" w:rsidR="00203DF8" w:rsidRPr="00203DF8" w:rsidRDefault="00203DF8" w:rsidP="00203DF8">
      <w:pPr>
        <w:spacing w:after="0" w:line="240" w:lineRule="auto"/>
        <w:rPr>
          <w:rFonts w:ascii="Arial" w:eastAsia="Times New Roman" w:hAnsi="Arial" w:cs="Arial"/>
          <w:kern w:val="0"/>
          <w:sz w:val="20"/>
          <w:szCs w:val="20"/>
          <w:lang w:eastAsia="fr-FR"/>
          <w14:ligatures w14:val="none"/>
        </w:rPr>
      </w:pPr>
    </w:p>
    <w:p w14:paraId="5B44C4B4" w14:textId="036AB05B" w:rsidR="00C46A72" w:rsidRDefault="00C46A72" w:rsidP="00C46A72">
      <w:pPr>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 xml:space="preserve">Claire, sous régime de séparation de biens, veut vendre son appartement personnel. L’accord de Jean est-il nécessaire ? Que se passe-t-il pour le logement familial attribué à Claire ? </w:t>
      </w:r>
    </w:p>
    <w:p w14:paraId="385D0AEA" w14:textId="77777777" w:rsidR="00203DF8" w:rsidRPr="00C46A72" w:rsidRDefault="00203DF8" w:rsidP="00203DF8">
      <w:pPr>
        <w:spacing w:after="0" w:line="240" w:lineRule="auto"/>
        <w:rPr>
          <w:rFonts w:ascii="Arial" w:eastAsia="Times New Roman" w:hAnsi="Arial" w:cs="Arial"/>
          <w:kern w:val="0"/>
          <w:sz w:val="20"/>
          <w:szCs w:val="20"/>
          <w:lang w:eastAsia="fr-FR"/>
          <w14:ligatures w14:val="none"/>
        </w:rPr>
      </w:pPr>
    </w:p>
    <w:p w14:paraId="64854030" w14:textId="77777777" w:rsidR="00C46A72" w:rsidRPr="00C46A72" w:rsidRDefault="00C46A72" w:rsidP="00C46A72">
      <w:pPr>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 xml:space="preserve">Les héritiers indivisaires dont l’un est sous curatelle renforcée veulent vendre l’appartement de tante Jeanne. Qui peut décider ? Faut-il l’autorisation judiciaire pour l’héritier protégé ? </w:t>
      </w:r>
    </w:p>
    <w:p w14:paraId="315E715B" w14:textId="77777777" w:rsidR="00C46A72" w:rsidRPr="00C46A72" w:rsidRDefault="00C46A72" w:rsidP="00C46A72">
      <w:pPr>
        <w:spacing w:after="0" w:line="240" w:lineRule="auto"/>
        <w:ind w:left="720"/>
        <w:rPr>
          <w:rFonts w:ascii="Arial" w:eastAsia="Times New Roman" w:hAnsi="Arial" w:cs="Arial"/>
          <w:kern w:val="0"/>
          <w:sz w:val="20"/>
          <w:szCs w:val="20"/>
          <w:lang w:eastAsia="fr-FR"/>
          <w14:ligatures w14:val="none"/>
        </w:rPr>
      </w:pPr>
    </w:p>
    <w:p w14:paraId="1D92DFAB" w14:textId="0F2F8DF2" w:rsidR="00C46A72" w:rsidRPr="00C46A72" w:rsidRDefault="00C46A72" w:rsidP="00C46A72">
      <w:pPr>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Paul, majeur protégé, souhaite donner mandat à une agence pour gérer son bien. Qui peut signer le mandat ? Faut-il l’autorisation du juge des tutelles ?</w:t>
      </w:r>
    </w:p>
    <w:p w14:paraId="7E6AF68D" w14:textId="77777777" w:rsidR="00C46A72" w:rsidRPr="00C46A72" w:rsidRDefault="00C46A72" w:rsidP="00C46A72">
      <w:pPr>
        <w:spacing w:after="0" w:line="240" w:lineRule="auto"/>
        <w:rPr>
          <w:rFonts w:ascii="Arial" w:eastAsia="Times New Roman" w:hAnsi="Arial" w:cs="Arial"/>
          <w:kern w:val="0"/>
          <w:sz w:val="20"/>
          <w:szCs w:val="20"/>
          <w:lang w:eastAsia="fr-FR"/>
          <w14:ligatures w14:val="none"/>
        </w:rPr>
      </w:pPr>
    </w:p>
    <w:p w14:paraId="44F08034" w14:textId="2A919B68" w:rsidR="00C46A72" w:rsidRPr="00C46A72" w:rsidRDefault="00C46A72" w:rsidP="00C46A72">
      <w:pPr>
        <w:numPr>
          <w:ilvl w:val="0"/>
          <w:numId w:val="4"/>
        </w:numPr>
        <w:spacing w:after="0" w:line="240" w:lineRule="auto"/>
        <w:rPr>
          <w:rFonts w:ascii="Arial" w:eastAsia="Times New Roman" w:hAnsi="Arial" w:cs="Arial"/>
          <w:kern w:val="0"/>
          <w:sz w:val="20"/>
          <w:szCs w:val="20"/>
          <w:lang w:eastAsia="fr-FR"/>
          <w14:ligatures w14:val="none"/>
        </w:rPr>
      </w:pPr>
      <w:r w:rsidRPr="00C46A72">
        <w:rPr>
          <w:rFonts w:ascii="Arial" w:eastAsia="Times New Roman" w:hAnsi="Arial" w:cs="Arial"/>
          <w:kern w:val="0"/>
          <w:sz w:val="20"/>
          <w:szCs w:val="20"/>
          <w:lang w:eastAsia="fr-FR"/>
          <w14:ligatures w14:val="none"/>
        </w:rPr>
        <w:t>Dans la SCI “Martin Immobilier”, certains associés sont majeurs protégés. Comment procéder pour obtenir l’accord nécessaire à la vente d’un appartement ? La décision est-elle valide si certains associés n’ont pas leur juge des tutelles impliqué ?</w:t>
      </w:r>
    </w:p>
    <w:p w14:paraId="5DB0A781" w14:textId="77777777" w:rsidR="00C46A72" w:rsidRDefault="00C46A72" w:rsidP="006A542A">
      <w:pPr>
        <w:spacing w:after="0" w:line="240" w:lineRule="auto"/>
        <w:ind w:left="720"/>
        <w:rPr>
          <w:rFonts w:ascii="Arial" w:eastAsia="Times New Roman" w:hAnsi="Arial" w:cs="Arial"/>
          <w:kern w:val="0"/>
          <w:sz w:val="24"/>
          <w:szCs w:val="24"/>
          <w:lang w:eastAsia="fr-FR"/>
          <w14:ligatures w14:val="none"/>
        </w:rPr>
      </w:pPr>
    </w:p>
    <w:p w14:paraId="277A876A"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61666BA6"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7D056F86"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5B766574"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05568C48"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7A858245"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293ACD68"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667184B6"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28D09A36"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7C21090B"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2924BD5E"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60CBF6A1"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13F9050F"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6B7AD8DA"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7BD07687" w14:textId="77777777" w:rsidR="00135D23" w:rsidRDefault="00135D23" w:rsidP="006A542A">
      <w:pPr>
        <w:spacing w:after="0" w:line="240" w:lineRule="auto"/>
        <w:ind w:left="720"/>
        <w:rPr>
          <w:rFonts w:ascii="Arial" w:eastAsia="Times New Roman" w:hAnsi="Arial" w:cs="Arial"/>
          <w:kern w:val="0"/>
          <w:sz w:val="24"/>
          <w:szCs w:val="24"/>
          <w:lang w:eastAsia="fr-FR"/>
          <w14:ligatures w14:val="none"/>
        </w:rPr>
      </w:pPr>
    </w:p>
    <w:p w14:paraId="427245AA" w14:textId="77777777" w:rsidR="00C46A72" w:rsidRPr="001B4D4F" w:rsidRDefault="00C46A72" w:rsidP="00203DF8">
      <w:pPr>
        <w:spacing w:after="0" w:line="240" w:lineRule="auto"/>
        <w:rPr>
          <w:rFonts w:ascii="Arial" w:eastAsia="Times New Roman" w:hAnsi="Arial" w:cs="Arial"/>
          <w:kern w:val="0"/>
          <w:sz w:val="24"/>
          <w:szCs w:val="24"/>
          <w:lang w:eastAsia="fr-FR"/>
          <w14:ligatures w14:val="none"/>
        </w:rPr>
      </w:pPr>
    </w:p>
    <w:p w14:paraId="381F18E2" w14:textId="69342516" w:rsidR="001909E9" w:rsidRPr="00135D23" w:rsidRDefault="001A627D" w:rsidP="00135D2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135D23">
        <w:rPr>
          <w:rFonts w:ascii="Arial" w:hAnsi="Arial" w:cs="Arial"/>
          <w:b/>
          <w:bCs/>
        </w:rPr>
        <w:lastRenderedPageBreak/>
        <w:t>Articles du Code civil</w:t>
      </w:r>
    </w:p>
    <w:p w14:paraId="42277F93" w14:textId="77777777" w:rsidR="00135D23" w:rsidRPr="00135D23" w:rsidRDefault="00135D23" w:rsidP="00135D23">
      <w:pPr>
        <w:spacing w:after="0"/>
        <w:rPr>
          <w:rFonts w:ascii="Arial" w:hAnsi="Arial" w:cs="Arial"/>
          <w:b/>
          <w:bCs/>
        </w:rPr>
      </w:pPr>
    </w:p>
    <w:p w14:paraId="75BE5037" w14:textId="7B75490A" w:rsidR="00C34C98" w:rsidRPr="001B47E8" w:rsidRDefault="00C34C98" w:rsidP="00135D23">
      <w:pPr>
        <w:spacing w:after="0"/>
        <w:rPr>
          <w:rFonts w:ascii="Arial" w:hAnsi="Arial" w:cs="Arial"/>
        </w:rPr>
      </w:pPr>
      <w:r w:rsidRPr="001B47E8">
        <w:rPr>
          <w:rFonts w:ascii="Arial" w:hAnsi="Arial" w:cs="Arial"/>
          <w:b/>
          <w:bCs/>
        </w:rPr>
        <w:t>Article 215</w:t>
      </w:r>
      <w:r w:rsidRPr="001B47E8">
        <w:rPr>
          <w:rFonts w:ascii="Arial" w:hAnsi="Arial" w:cs="Arial"/>
        </w:rPr>
        <w:t> : Les époux s'obligent mutuellement à une communauté de vie.</w:t>
      </w:r>
    </w:p>
    <w:p w14:paraId="21184C76" w14:textId="77777777" w:rsidR="00C34C98" w:rsidRPr="001B47E8" w:rsidRDefault="00C34C98" w:rsidP="00135D23">
      <w:pPr>
        <w:spacing w:after="0"/>
        <w:rPr>
          <w:rFonts w:ascii="Arial" w:hAnsi="Arial" w:cs="Arial"/>
        </w:rPr>
      </w:pPr>
      <w:r w:rsidRPr="001B47E8">
        <w:rPr>
          <w:rFonts w:ascii="Arial" w:hAnsi="Arial" w:cs="Arial"/>
        </w:rPr>
        <w:t>La résidence de la famille est au lieu qu'ils choisissent d'un commun accord.</w:t>
      </w:r>
    </w:p>
    <w:p w14:paraId="3C3A15B9" w14:textId="77777777" w:rsidR="00C34C98" w:rsidRPr="001B47E8" w:rsidRDefault="00C34C98" w:rsidP="00135D23">
      <w:pPr>
        <w:spacing w:after="0"/>
        <w:rPr>
          <w:rFonts w:ascii="Arial" w:hAnsi="Arial" w:cs="Arial"/>
        </w:rPr>
      </w:pPr>
      <w:r w:rsidRPr="001B47E8">
        <w:rPr>
          <w:rFonts w:ascii="Arial" w:hAnsi="Arial" w:cs="Arial"/>
        </w:rPr>
        <w:t>Les époux ne peuvent l'un sans l'autre disposer des droits par lesquels est assuré le logement de la famille, ni des meubles meublants dont il est garni. Celui des deux qui n'a pas donné son consentement à l'acte peut en demander l'annulation : l'action en nullité lui est ouverte dans l'année à partir du jour où il a eu connaissance de l'acte, sans pouvoir jamais être intentée plus d'un an après que le régime matrimonial s'est dissous.</w:t>
      </w:r>
    </w:p>
    <w:p w14:paraId="62EFDB30" w14:textId="77777777" w:rsidR="00111FFA" w:rsidRPr="001B47E8" w:rsidRDefault="00111FFA" w:rsidP="00135D23">
      <w:pPr>
        <w:spacing w:after="0"/>
        <w:rPr>
          <w:rFonts w:ascii="Arial" w:hAnsi="Arial" w:cs="Arial"/>
        </w:rPr>
      </w:pPr>
    </w:p>
    <w:p w14:paraId="7309D3E2" w14:textId="06618CA1" w:rsidR="00111FFA" w:rsidRPr="001B47E8" w:rsidRDefault="00111FFA" w:rsidP="00135D23">
      <w:pPr>
        <w:spacing w:after="0"/>
        <w:rPr>
          <w:rFonts w:ascii="Arial" w:hAnsi="Arial" w:cs="Arial"/>
        </w:rPr>
      </w:pPr>
      <w:r w:rsidRPr="001B47E8">
        <w:rPr>
          <w:rFonts w:ascii="Arial" w:hAnsi="Arial" w:cs="Arial"/>
          <w:b/>
          <w:bCs/>
        </w:rPr>
        <w:t>Article 382</w:t>
      </w:r>
      <w:r w:rsidRPr="001B47E8">
        <w:rPr>
          <w:rFonts w:ascii="Arial" w:hAnsi="Arial" w:cs="Arial"/>
        </w:rPr>
        <w:t> : L'administration légale appartient aux parents. Si l'autorité parentale est exercée en commun par les deux parents, chacun d'entre eux est administrateur légal. Dans les autres cas, l'administration légale appartient à celui des parents qui exerce l'autorité parentale.</w:t>
      </w:r>
    </w:p>
    <w:p w14:paraId="0076F904" w14:textId="306CB671" w:rsidR="00C34C98" w:rsidRPr="001B47E8" w:rsidRDefault="00C34C98" w:rsidP="00135D23">
      <w:pPr>
        <w:spacing w:after="0"/>
        <w:rPr>
          <w:rFonts w:ascii="Arial" w:hAnsi="Arial" w:cs="Arial"/>
        </w:rPr>
      </w:pPr>
      <w:r w:rsidRPr="001B47E8">
        <w:rPr>
          <w:rFonts w:ascii="Arial" w:hAnsi="Arial" w:cs="Arial"/>
        </w:rPr>
        <w:t xml:space="preserve">Article 578 : L'usufruit est le droit de jouir des choses dont un autre </w:t>
      </w:r>
      <w:proofErr w:type="spellStart"/>
      <w:r w:rsidRPr="001B47E8">
        <w:rPr>
          <w:rFonts w:ascii="Arial" w:hAnsi="Arial" w:cs="Arial"/>
        </w:rPr>
        <w:t>a</w:t>
      </w:r>
      <w:proofErr w:type="spellEnd"/>
      <w:r w:rsidRPr="001B47E8">
        <w:rPr>
          <w:rFonts w:ascii="Arial" w:hAnsi="Arial" w:cs="Arial"/>
        </w:rPr>
        <w:t xml:space="preserve"> la propriété, comme le propriétaire lui-même, mais à la charge d'en conserver la substance.</w:t>
      </w:r>
    </w:p>
    <w:p w14:paraId="08FDACFE" w14:textId="77777777" w:rsidR="00BB6CB5" w:rsidRPr="001B47E8" w:rsidRDefault="00BB6CB5" w:rsidP="00135D23">
      <w:pPr>
        <w:spacing w:after="0"/>
        <w:rPr>
          <w:rFonts w:ascii="Arial" w:hAnsi="Arial" w:cs="Arial"/>
        </w:rPr>
      </w:pPr>
    </w:p>
    <w:p w14:paraId="43A91F0A" w14:textId="6D0D408F" w:rsidR="00BB6CB5" w:rsidRPr="001B47E8" w:rsidRDefault="00BB6CB5" w:rsidP="00BB6CB5">
      <w:pPr>
        <w:spacing w:after="0"/>
        <w:rPr>
          <w:rFonts w:ascii="Arial" w:hAnsi="Arial" w:cs="Arial"/>
          <w:b/>
          <w:bCs/>
        </w:rPr>
      </w:pPr>
      <w:r w:rsidRPr="001B47E8">
        <w:rPr>
          <w:rFonts w:ascii="Arial" w:hAnsi="Arial" w:cs="Arial"/>
          <w:b/>
          <w:bCs/>
        </w:rPr>
        <w:t>Article 414-1</w:t>
      </w:r>
      <w:r w:rsidR="001B47E8" w:rsidRPr="001B47E8">
        <w:rPr>
          <w:rFonts w:ascii="Arial" w:hAnsi="Arial" w:cs="Arial"/>
          <w:b/>
          <w:bCs/>
        </w:rPr>
        <w:t xml:space="preserve"> : </w:t>
      </w:r>
      <w:r w:rsidRPr="001B47E8">
        <w:rPr>
          <w:rFonts w:ascii="Arial" w:hAnsi="Arial" w:cs="Arial"/>
        </w:rPr>
        <w:t>Pour faire un acte valable, il faut être sain d'esprit. C'est à ceux qui agissent en nullité pour cette cause de prouver l'existence d'un trouble mental au moment de l'acte.</w:t>
      </w:r>
    </w:p>
    <w:p w14:paraId="31FF0B8D" w14:textId="77777777" w:rsidR="00BB6CB5" w:rsidRPr="001B47E8" w:rsidRDefault="00BB6CB5" w:rsidP="00135D23">
      <w:pPr>
        <w:spacing w:after="0"/>
        <w:rPr>
          <w:rFonts w:ascii="Arial" w:hAnsi="Arial" w:cs="Arial"/>
        </w:rPr>
      </w:pPr>
    </w:p>
    <w:p w14:paraId="12488B40" w14:textId="305F5721" w:rsidR="00377EDD" w:rsidRPr="001B47E8" w:rsidRDefault="00377EDD" w:rsidP="00377EDD">
      <w:pPr>
        <w:spacing w:after="0"/>
        <w:rPr>
          <w:rFonts w:ascii="Arial" w:hAnsi="Arial" w:cs="Arial"/>
          <w:b/>
          <w:bCs/>
        </w:rPr>
      </w:pPr>
      <w:r w:rsidRPr="001B47E8">
        <w:rPr>
          <w:rFonts w:ascii="Arial" w:hAnsi="Arial" w:cs="Arial"/>
          <w:b/>
          <w:bCs/>
        </w:rPr>
        <w:t>Article 425</w:t>
      </w:r>
      <w:r w:rsidR="001B47E8" w:rsidRPr="001B47E8">
        <w:rPr>
          <w:rFonts w:ascii="Arial" w:hAnsi="Arial" w:cs="Arial"/>
          <w:b/>
          <w:bCs/>
        </w:rPr>
        <w:t xml:space="preserve"> : </w:t>
      </w:r>
      <w:r w:rsidRPr="001B47E8">
        <w:rPr>
          <w:rFonts w:ascii="Arial" w:hAnsi="Arial" w:cs="Arial"/>
        </w:rPr>
        <w:t>Toute personne dans l'impossibilité de pourvoir seule à ses intérêts en raison d'une altération, médicalement constatée, soit de ses facultés mentales, soit de ses facultés corporelles de nature à empêcher l'expression de sa volonté peut bénéficier d'une mesure de protection juridique prévue au présent chapitre.</w:t>
      </w:r>
    </w:p>
    <w:p w14:paraId="0412D0C6" w14:textId="77777777" w:rsidR="00377EDD" w:rsidRPr="001B47E8" w:rsidRDefault="00377EDD" w:rsidP="00377EDD">
      <w:pPr>
        <w:spacing w:after="0"/>
        <w:rPr>
          <w:rFonts w:ascii="Arial" w:hAnsi="Arial" w:cs="Arial"/>
        </w:rPr>
      </w:pPr>
      <w:r w:rsidRPr="001B47E8">
        <w:rPr>
          <w:rFonts w:ascii="Arial" w:hAnsi="Arial" w:cs="Arial"/>
        </w:rPr>
        <w:t>S'il n'en est disposé autrement, la mesure est destinée à la protection tant de la personne que des intérêts patrimoniaux de celle-ci. Elle peut toutefois être limitée expressément à l'une de ces deux missions.</w:t>
      </w:r>
    </w:p>
    <w:p w14:paraId="33E4DCBE" w14:textId="77777777" w:rsidR="00DE0B61" w:rsidRPr="001B47E8" w:rsidRDefault="00DE0B61" w:rsidP="00377EDD">
      <w:pPr>
        <w:spacing w:after="0"/>
        <w:rPr>
          <w:rFonts w:ascii="Arial" w:hAnsi="Arial" w:cs="Arial"/>
        </w:rPr>
      </w:pPr>
    </w:p>
    <w:p w14:paraId="2A19C7E4" w14:textId="009460CA" w:rsidR="00DE0B61" w:rsidRPr="001B47E8" w:rsidRDefault="00DE0B61" w:rsidP="00DE0B61">
      <w:pPr>
        <w:spacing w:after="0"/>
        <w:rPr>
          <w:rFonts w:ascii="Arial" w:hAnsi="Arial" w:cs="Arial"/>
          <w:b/>
          <w:bCs/>
        </w:rPr>
      </w:pPr>
      <w:hyperlink r:id="rId7" w:history="1">
        <w:r w:rsidRPr="001B47E8">
          <w:rPr>
            <w:rStyle w:val="Lienhypertexte"/>
            <w:rFonts w:ascii="Arial" w:hAnsi="Arial" w:cs="Arial"/>
            <w:b/>
            <w:bCs/>
            <w:color w:val="auto"/>
            <w:u w:val="none"/>
          </w:rPr>
          <w:t>Article 464</w:t>
        </w:r>
      </w:hyperlink>
      <w:r w:rsidR="001B47E8" w:rsidRPr="001B47E8">
        <w:rPr>
          <w:rFonts w:ascii="Arial" w:hAnsi="Arial" w:cs="Arial"/>
          <w:b/>
          <w:bCs/>
        </w:rPr>
        <w:t xml:space="preserve"> : </w:t>
      </w:r>
      <w:r w:rsidRPr="001B47E8">
        <w:rPr>
          <w:rFonts w:ascii="Arial" w:hAnsi="Arial" w:cs="Arial"/>
        </w:rPr>
        <w:t>Les obligations résultant des actes accomplis par la personne protégée moins de deux ans avant la publicité du jugement d'ouverture de la mesure de protection peuvent être réduites sur la seule preuve que son inaptitude à défendre ses intérêts, par suite de l'altération de ses facultés personnelles, était notoire ou connue du cocontractant à l'époque où les actes ont été passés.</w:t>
      </w:r>
    </w:p>
    <w:p w14:paraId="3A162DE0" w14:textId="77777777" w:rsidR="00DE0B61" w:rsidRPr="001B47E8" w:rsidRDefault="00DE0B61" w:rsidP="00DE0B61">
      <w:pPr>
        <w:spacing w:after="0"/>
        <w:rPr>
          <w:rFonts w:ascii="Arial" w:hAnsi="Arial" w:cs="Arial"/>
        </w:rPr>
      </w:pPr>
      <w:r w:rsidRPr="001B47E8">
        <w:rPr>
          <w:rFonts w:ascii="Arial" w:hAnsi="Arial" w:cs="Arial"/>
        </w:rPr>
        <w:t>Ces actes peuvent, dans les mêmes conditions, être annulés s'il est justifié d'un préjudice subi par la personne protégée.</w:t>
      </w:r>
    </w:p>
    <w:p w14:paraId="7FEABF1E" w14:textId="77777777" w:rsidR="00DE0B61" w:rsidRPr="001B47E8" w:rsidRDefault="00DE0B61" w:rsidP="00DE0B61">
      <w:pPr>
        <w:spacing w:after="0"/>
        <w:rPr>
          <w:rFonts w:ascii="Arial" w:hAnsi="Arial" w:cs="Arial"/>
        </w:rPr>
      </w:pPr>
      <w:r w:rsidRPr="001B47E8">
        <w:rPr>
          <w:rFonts w:ascii="Arial" w:hAnsi="Arial" w:cs="Arial"/>
        </w:rPr>
        <w:t>Par dérogation à </w:t>
      </w:r>
      <w:hyperlink r:id="rId8" w:tooltip="Code civil - art. 2252 (V)" w:history="1">
        <w:r w:rsidRPr="001B47E8">
          <w:rPr>
            <w:rStyle w:val="Lienhypertexte"/>
            <w:rFonts w:ascii="Arial" w:hAnsi="Arial" w:cs="Arial"/>
            <w:color w:val="auto"/>
            <w:u w:val="none"/>
          </w:rPr>
          <w:t>l'article 2252</w:t>
        </w:r>
      </w:hyperlink>
      <w:r w:rsidRPr="001B47E8">
        <w:rPr>
          <w:rFonts w:ascii="Arial" w:hAnsi="Arial" w:cs="Arial"/>
        </w:rPr>
        <w:t>, l'action doit être introduite dans les cinq ans de la date du jugement d'ouverture de la mesure.</w:t>
      </w:r>
    </w:p>
    <w:p w14:paraId="75AA283F" w14:textId="77777777" w:rsidR="00DE0B61" w:rsidRPr="001B47E8" w:rsidRDefault="00DE0B61" w:rsidP="00377EDD">
      <w:pPr>
        <w:spacing w:after="0"/>
        <w:rPr>
          <w:rFonts w:ascii="Arial" w:hAnsi="Arial" w:cs="Arial"/>
        </w:rPr>
      </w:pPr>
    </w:p>
    <w:p w14:paraId="7A54C74D" w14:textId="77777777" w:rsidR="00377EDD" w:rsidRPr="001B47E8" w:rsidRDefault="00377EDD" w:rsidP="00135D23">
      <w:pPr>
        <w:spacing w:after="0"/>
        <w:rPr>
          <w:rFonts w:ascii="Arial" w:hAnsi="Arial" w:cs="Arial"/>
        </w:rPr>
      </w:pPr>
    </w:p>
    <w:p w14:paraId="54280AD0" w14:textId="75B55E37" w:rsidR="00B94B2F" w:rsidRPr="001B47E8" w:rsidRDefault="00B94B2F" w:rsidP="00B94B2F">
      <w:pPr>
        <w:spacing w:after="0"/>
        <w:rPr>
          <w:rFonts w:ascii="Arial" w:hAnsi="Arial" w:cs="Arial"/>
          <w:b/>
          <w:bCs/>
        </w:rPr>
      </w:pPr>
      <w:r w:rsidRPr="001B47E8">
        <w:rPr>
          <w:rFonts w:ascii="Arial" w:hAnsi="Arial" w:cs="Arial"/>
          <w:b/>
          <w:bCs/>
        </w:rPr>
        <w:t>Article 465</w:t>
      </w:r>
      <w:r w:rsidR="001B47E8" w:rsidRPr="001B47E8">
        <w:rPr>
          <w:rFonts w:ascii="Arial" w:hAnsi="Arial" w:cs="Arial"/>
          <w:b/>
          <w:bCs/>
        </w:rPr>
        <w:t xml:space="preserve"> : </w:t>
      </w:r>
      <w:r w:rsidRPr="001B47E8">
        <w:rPr>
          <w:rFonts w:ascii="Arial" w:hAnsi="Arial" w:cs="Arial"/>
        </w:rPr>
        <w:t>A compter de la publicité du jugement d'ouverture, l'irrégularité des actes accomplis par la personne protégée ou par la personne chargée de la protection est sanctionnée dans les conditions suivantes :</w:t>
      </w:r>
    </w:p>
    <w:p w14:paraId="1F33BF9B" w14:textId="77777777" w:rsidR="00B94B2F" w:rsidRPr="001B47E8" w:rsidRDefault="00B94B2F" w:rsidP="00B94B2F">
      <w:pPr>
        <w:spacing w:after="0"/>
        <w:rPr>
          <w:rFonts w:ascii="Arial" w:hAnsi="Arial" w:cs="Arial"/>
        </w:rPr>
      </w:pPr>
      <w:r w:rsidRPr="001B47E8">
        <w:rPr>
          <w:rFonts w:ascii="Arial" w:hAnsi="Arial" w:cs="Arial"/>
        </w:rPr>
        <w:t>1° Si la personne protégée a accompli seule un acte qu'elle pouvait faire sans l'assistance ou la représentation de la personne chargée de sa protection, l'acte reste sujet aux actions en rescision ou en réduction prévues à </w:t>
      </w:r>
      <w:hyperlink r:id="rId9" w:tooltip="Code civil - art. 435 (VD)" w:history="1">
        <w:r w:rsidRPr="001B47E8">
          <w:rPr>
            <w:rStyle w:val="Lienhypertexte"/>
            <w:rFonts w:ascii="Arial" w:hAnsi="Arial" w:cs="Arial"/>
            <w:color w:val="auto"/>
            <w:u w:val="none"/>
          </w:rPr>
          <w:t>l'article 435 </w:t>
        </w:r>
      </w:hyperlink>
      <w:r w:rsidRPr="001B47E8">
        <w:rPr>
          <w:rFonts w:ascii="Arial" w:hAnsi="Arial" w:cs="Arial"/>
        </w:rPr>
        <w:t>comme s'il avait été accompli par une personne placée sous sauvegarde de justice, à moins qu'il ait été expressément autorisé par le juge ou par le conseil de famille s'il a été constitué ;</w:t>
      </w:r>
    </w:p>
    <w:p w14:paraId="1F4A6252" w14:textId="77777777" w:rsidR="00B94B2F" w:rsidRPr="001B47E8" w:rsidRDefault="00B94B2F" w:rsidP="00B94B2F">
      <w:pPr>
        <w:spacing w:after="0"/>
        <w:rPr>
          <w:rFonts w:ascii="Arial" w:hAnsi="Arial" w:cs="Arial"/>
        </w:rPr>
      </w:pPr>
      <w:r w:rsidRPr="001B47E8">
        <w:rPr>
          <w:rFonts w:ascii="Arial" w:hAnsi="Arial" w:cs="Arial"/>
        </w:rPr>
        <w:t>2° Si la personne protégée a accompli seule un acte pour lequel elle aurait dû être assistée, l'acte ne peut être annulé que s'il est établi que la personne protégée a subi un préjudice ;</w:t>
      </w:r>
    </w:p>
    <w:p w14:paraId="03AAA26F" w14:textId="77777777" w:rsidR="00B94B2F" w:rsidRPr="001B47E8" w:rsidRDefault="00B94B2F" w:rsidP="00B94B2F">
      <w:pPr>
        <w:spacing w:after="0"/>
        <w:rPr>
          <w:rFonts w:ascii="Arial" w:hAnsi="Arial" w:cs="Arial"/>
        </w:rPr>
      </w:pPr>
      <w:r w:rsidRPr="001B47E8">
        <w:rPr>
          <w:rFonts w:ascii="Arial" w:hAnsi="Arial" w:cs="Arial"/>
        </w:rPr>
        <w:t>3° Si la personne protégée a accompli seule un acte pour lequel elle aurait dû être représentée, l'acte est nul de plein droit sans qu'il soit nécessaire de justifier d'un préjudice ;</w:t>
      </w:r>
    </w:p>
    <w:p w14:paraId="44262A1B" w14:textId="77777777" w:rsidR="00B94B2F" w:rsidRPr="001B47E8" w:rsidRDefault="00B94B2F" w:rsidP="00B94B2F">
      <w:pPr>
        <w:spacing w:after="0"/>
        <w:rPr>
          <w:rFonts w:ascii="Arial" w:hAnsi="Arial" w:cs="Arial"/>
        </w:rPr>
      </w:pPr>
      <w:r w:rsidRPr="001B47E8">
        <w:rPr>
          <w:rFonts w:ascii="Arial" w:hAnsi="Arial" w:cs="Arial"/>
        </w:rPr>
        <w:t>4° Si le tuteur ou le curateur a accompli seul un acte qui aurait dû être fait par la personne protégée soit seule, soit avec son assistance ou qui ne pouvait être accompli qu'avec l'autorisation du juge ou du conseil de famille s'il a été constitué, l'acte est nul de plein droit sans qu'il soit nécessaire de justifier d'un préjudice.</w:t>
      </w:r>
    </w:p>
    <w:p w14:paraId="072A26FA" w14:textId="77777777" w:rsidR="00B94B2F" w:rsidRPr="001B47E8" w:rsidRDefault="00B94B2F" w:rsidP="00B94B2F">
      <w:pPr>
        <w:spacing w:after="0"/>
        <w:rPr>
          <w:rFonts w:ascii="Arial" w:hAnsi="Arial" w:cs="Arial"/>
        </w:rPr>
      </w:pPr>
      <w:r w:rsidRPr="001B47E8">
        <w:rPr>
          <w:rFonts w:ascii="Arial" w:hAnsi="Arial" w:cs="Arial"/>
        </w:rPr>
        <w:t>Le curateur ou le tuteur peut, avec l'autorisation du juge ou du conseil de famille s'il a été constitué, engager seul l'action en nullité, en rescision ou en réduction des actes prévus aux 1°, 2° et 3°.</w:t>
      </w:r>
    </w:p>
    <w:p w14:paraId="7725FE23" w14:textId="77777777" w:rsidR="00B94B2F" w:rsidRPr="001B47E8" w:rsidRDefault="00B94B2F" w:rsidP="00B94B2F">
      <w:pPr>
        <w:spacing w:after="0"/>
        <w:rPr>
          <w:rFonts w:ascii="Arial" w:hAnsi="Arial" w:cs="Arial"/>
        </w:rPr>
      </w:pPr>
      <w:r w:rsidRPr="001B47E8">
        <w:rPr>
          <w:rFonts w:ascii="Arial" w:hAnsi="Arial" w:cs="Arial"/>
        </w:rPr>
        <w:t xml:space="preserve">Dans tous les cas, l'action s'éteint par le délai de </w:t>
      </w:r>
      <w:proofErr w:type="gramStart"/>
      <w:r w:rsidRPr="001B47E8">
        <w:rPr>
          <w:rFonts w:ascii="Arial" w:hAnsi="Arial" w:cs="Arial"/>
        </w:rPr>
        <w:t>cinq ans prévu</w:t>
      </w:r>
      <w:proofErr w:type="gramEnd"/>
      <w:r w:rsidRPr="001B47E8">
        <w:rPr>
          <w:rFonts w:ascii="Arial" w:hAnsi="Arial" w:cs="Arial"/>
        </w:rPr>
        <w:t xml:space="preserve"> à </w:t>
      </w:r>
      <w:hyperlink r:id="rId10" w:tooltip="Code civil - art. 2224 (V)" w:history="1">
        <w:r w:rsidRPr="001B47E8">
          <w:rPr>
            <w:rStyle w:val="Lienhypertexte"/>
            <w:rFonts w:ascii="Arial" w:hAnsi="Arial" w:cs="Arial"/>
            <w:color w:val="auto"/>
            <w:u w:val="none"/>
          </w:rPr>
          <w:t>l'article 2224</w:t>
        </w:r>
      </w:hyperlink>
      <w:r w:rsidRPr="001B47E8">
        <w:rPr>
          <w:rFonts w:ascii="Arial" w:hAnsi="Arial" w:cs="Arial"/>
        </w:rPr>
        <w:t>.</w:t>
      </w:r>
    </w:p>
    <w:p w14:paraId="07938333" w14:textId="77777777" w:rsidR="00B94B2F" w:rsidRPr="001B47E8" w:rsidRDefault="00B94B2F" w:rsidP="00B94B2F">
      <w:pPr>
        <w:spacing w:after="0"/>
        <w:rPr>
          <w:rFonts w:ascii="Arial" w:hAnsi="Arial" w:cs="Arial"/>
        </w:rPr>
      </w:pPr>
      <w:r w:rsidRPr="001B47E8">
        <w:rPr>
          <w:rFonts w:ascii="Arial" w:hAnsi="Arial" w:cs="Arial"/>
        </w:rPr>
        <w:lastRenderedPageBreak/>
        <w:t>Pendant ce délai et tant que la mesure de protection est ouverte, l'acte prévu au 4° peut être confirmé avec l'autorisation du juge ou du conseil de famille s'il a été constitué.</w:t>
      </w:r>
    </w:p>
    <w:p w14:paraId="5E36F353" w14:textId="77777777" w:rsidR="00B94B2F" w:rsidRPr="001B47E8" w:rsidRDefault="00B94B2F" w:rsidP="00135D23">
      <w:pPr>
        <w:spacing w:after="0"/>
        <w:rPr>
          <w:rFonts w:ascii="Arial" w:hAnsi="Arial" w:cs="Arial"/>
        </w:rPr>
      </w:pPr>
    </w:p>
    <w:p w14:paraId="7ED38B85" w14:textId="77777777" w:rsidR="00C34C98" w:rsidRPr="001B47E8" w:rsidRDefault="00C34C98" w:rsidP="00135D23">
      <w:pPr>
        <w:spacing w:after="0"/>
        <w:rPr>
          <w:rFonts w:ascii="Arial" w:hAnsi="Arial" w:cs="Arial"/>
        </w:rPr>
      </w:pPr>
    </w:p>
    <w:p w14:paraId="78969CEF" w14:textId="161FC1AE" w:rsidR="00111FFA" w:rsidRPr="001B47E8" w:rsidRDefault="00111FFA" w:rsidP="00135D23">
      <w:pPr>
        <w:spacing w:after="0"/>
        <w:rPr>
          <w:rFonts w:ascii="Arial" w:hAnsi="Arial" w:cs="Arial"/>
        </w:rPr>
      </w:pPr>
      <w:hyperlink r:id="rId11" w:history="1">
        <w:r w:rsidRPr="001B47E8">
          <w:rPr>
            <w:rStyle w:val="Lienhypertexte"/>
            <w:rFonts w:ascii="Arial" w:hAnsi="Arial" w:cs="Arial"/>
            <w:b/>
            <w:bCs/>
            <w:color w:val="auto"/>
            <w:u w:val="none"/>
          </w:rPr>
          <w:t>Article 815</w:t>
        </w:r>
      </w:hyperlink>
      <w:r w:rsidRPr="001B47E8">
        <w:rPr>
          <w:rFonts w:ascii="Arial" w:hAnsi="Arial" w:cs="Arial"/>
        </w:rPr>
        <w:t> : Nul ne peut être contraint à demeurer dans l'indivision et le partage peut toujours être provoqué, à moins qu'il n'y ait été sursis par jugement ou convention.</w:t>
      </w:r>
    </w:p>
    <w:p w14:paraId="0049608D" w14:textId="77777777" w:rsidR="00135D23" w:rsidRPr="001B47E8" w:rsidRDefault="00135D23" w:rsidP="00135D23">
      <w:pPr>
        <w:spacing w:after="0"/>
        <w:rPr>
          <w:rFonts w:ascii="Arial" w:hAnsi="Arial" w:cs="Arial"/>
        </w:rPr>
      </w:pPr>
    </w:p>
    <w:p w14:paraId="5DD6E234" w14:textId="2F412B7D" w:rsidR="00111FFA" w:rsidRPr="001B47E8" w:rsidRDefault="00111FFA" w:rsidP="00135D23">
      <w:pPr>
        <w:spacing w:after="0"/>
        <w:rPr>
          <w:rFonts w:ascii="Arial" w:hAnsi="Arial" w:cs="Arial"/>
        </w:rPr>
      </w:pPr>
      <w:hyperlink r:id="rId12" w:history="1">
        <w:r w:rsidRPr="001B47E8">
          <w:rPr>
            <w:rStyle w:val="Lienhypertexte"/>
            <w:rFonts w:ascii="Arial" w:hAnsi="Arial" w:cs="Arial"/>
            <w:b/>
            <w:bCs/>
            <w:color w:val="auto"/>
            <w:u w:val="none"/>
          </w:rPr>
          <w:t>Article 815-1</w:t>
        </w:r>
      </w:hyperlink>
      <w:r w:rsidRPr="001B47E8">
        <w:rPr>
          <w:rFonts w:ascii="Arial" w:hAnsi="Arial" w:cs="Arial"/>
        </w:rPr>
        <w:t> : Les indivisaires peuvent passer des conventions relatives à l'exercice de leurs droits indivis, conformément aux </w:t>
      </w:r>
      <w:hyperlink r:id="rId13" w:tooltip="Code civil - art. 1873-1 (V)" w:history="1">
        <w:r w:rsidRPr="001B47E8">
          <w:rPr>
            <w:rStyle w:val="Lienhypertexte"/>
            <w:rFonts w:ascii="Arial" w:hAnsi="Arial" w:cs="Arial"/>
            <w:color w:val="auto"/>
            <w:u w:val="none"/>
          </w:rPr>
          <w:t>articles 1873-1 à 1873-18</w:t>
        </w:r>
      </w:hyperlink>
      <w:r w:rsidRPr="001B47E8">
        <w:rPr>
          <w:rFonts w:ascii="Arial" w:hAnsi="Arial" w:cs="Arial"/>
        </w:rPr>
        <w:t>.</w:t>
      </w:r>
    </w:p>
    <w:p w14:paraId="769C6207" w14:textId="02BD53C8" w:rsidR="00111FFA" w:rsidRPr="001B47E8" w:rsidRDefault="00111FFA" w:rsidP="00135D23">
      <w:pPr>
        <w:spacing w:after="0"/>
        <w:rPr>
          <w:rFonts w:ascii="Arial" w:hAnsi="Arial" w:cs="Arial"/>
        </w:rPr>
      </w:pPr>
      <w:hyperlink r:id="rId14" w:history="1">
        <w:r w:rsidRPr="001B47E8">
          <w:rPr>
            <w:rStyle w:val="Lienhypertexte"/>
            <w:rFonts w:ascii="Arial" w:hAnsi="Arial" w:cs="Arial"/>
            <w:color w:val="auto"/>
            <w:u w:val="none"/>
          </w:rPr>
          <w:t>Article 815-2</w:t>
        </w:r>
      </w:hyperlink>
      <w:r w:rsidRPr="001B47E8">
        <w:rPr>
          <w:rFonts w:ascii="Arial" w:hAnsi="Arial" w:cs="Arial"/>
        </w:rPr>
        <w:t> : Tout indivisaire peut prendre les mesures nécessaires à la conservation des biens indivis même si elles ne présentent pas un caractère d'urgence.</w:t>
      </w:r>
    </w:p>
    <w:p w14:paraId="6869A76B" w14:textId="77777777" w:rsidR="00111FFA" w:rsidRPr="001B47E8" w:rsidRDefault="00111FFA" w:rsidP="00135D23">
      <w:pPr>
        <w:spacing w:after="0"/>
        <w:rPr>
          <w:rFonts w:ascii="Arial" w:hAnsi="Arial" w:cs="Arial"/>
        </w:rPr>
      </w:pPr>
      <w:r w:rsidRPr="001B47E8">
        <w:rPr>
          <w:rFonts w:ascii="Arial" w:hAnsi="Arial" w:cs="Arial"/>
        </w:rPr>
        <w:t>Il peut employer à cet effet les fonds de l'indivision détenus par lui et il est réputé en avoir la libre disposition à l'égard des tiers.</w:t>
      </w:r>
    </w:p>
    <w:p w14:paraId="38489DE5" w14:textId="77777777" w:rsidR="00111FFA" w:rsidRPr="001B47E8" w:rsidRDefault="00111FFA" w:rsidP="00135D23">
      <w:pPr>
        <w:spacing w:after="0"/>
        <w:rPr>
          <w:rFonts w:ascii="Arial" w:hAnsi="Arial" w:cs="Arial"/>
        </w:rPr>
      </w:pPr>
      <w:r w:rsidRPr="001B47E8">
        <w:rPr>
          <w:rFonts w:ascii="Arial" w:hAnsi="Arial" w:cs="Arial"/>
        </w:rPr>
        <w:t>A défaut de fonds de l'indivision, il peut obliger ses coïndivisaires à faire avec lui les dépenses nécessaires.</w:t>
      </w:r>
    </w:p>
    <w:p w14:paraId="54DE34DB" w14:textId="77777777" w:rsidR="00111FFA" w:rsidRPr="001B47E8" w:rsidRDefault="00111FFA" w:rsidP="00135D23">
      <w:pPr>
        <w:spacing w:after="0"/>
        <w:rPr>
          <w:rFonts w:ascii="Arial" w:hAnsi="Arial" w:cs="Arial"/>
        </w:rPr>
      </w:pPr>
      <w:r w:rsidRPr="001B47E8">
        <w:rPr>
          <w:rFonts w:ascii="Arial" w:hAnsi="Arial" w:cs="Arial"/>
        </w:rPr>
        <w:t>Lorsque des biens indivis sont grevés d'un usufruit, ces pouvoirs sont opposables à l'usufruitier dans la mesure où celui-ci est tenu des réparations.</w:t>
      </w:r>
    </w:p>
    <w:p w14:paraId="0157B7B9" w14:textId="77777777" w:rsidR="00135D23" w:rsidRPr="001B47E8" w:rsidRDefault="00135D23" w:rsidP="00135D23">
      <w:pPr>
        <w:spacing w:after="0"/>
        <w:rPr>
          <w:rFonts w:ascii="Arial" w:hAnsi="Arial" w:cs="Arial"/>
        </w:rPr>
      </w:pPr>
    </w:p>
    <w:p w14:paraId="5E954249" w14:textId="1A09B454" w:rsidR="00111FFA" w:rsidRPr="001B47E8" w:rsidRDefault="00111FFA" w:rsidP="00135D23">
      <w:pPr>
        <w:spacing w:after="0"/>
        <w:rPr>
          <w:rFonts w:ascii="Arial" w:hAnsi="Arial" w:cs="Arial"/>
        </w:rPr>
      </w:pPr>
      <w:hyperlink r:id="rId15" w:history="1">
        <w:r w:rsidRPr="001B47E8">
          <w:rPr>
            <w:rStyle w:val="Lienhypertexte"/>
            <w:rFonts w:ascii="Arial" w:hAnsi="Arial" w:cs="Arial"/>
            <w:b/>
            <w:bCs/>
            <w:color w:val="auto"/>
            <w:u w:val="none"/>
          </w:rPr>
          <w:t>Article 815-3</w:t>
        </w:r>
      </w:hyperlink>
      <w:r w:rsidR="00A0575A" w:rsidRPr="001B47E8">
        <w:rPr>
          <w:rFonts w:ascii="Arial" w:hAnsi="Arial" w:cs="Arial"/>
        </w:rPr>
        <w:t xml:space="preserve"> : </w:t>
      </w:r>
      <w:r w:rsidRPr="001B47E8">
        <w:rPr>
          <w:rFonts w:ascii="Arial" w:hAnsi="Arial" w:cs="Arial"/>
        </w:rPr>
        <w:t>Le ou les indivisaires titulaires d'au moins deux tiers des droits indivis peuvent, à cette majorité :</w:t>
      </w:r>
    </w:p>
    <w:p w14:paraId="1F1CE089" w14:textId="77777777" w:rsidR="00111FFA" w:rsidRPr="001B47E8" w:rsidRDefault="00111FFA" w:rsidP="00135D23">
      <w:pPr>
        <w:spacing w:after="0"/>
        <w:rPr>
          <w:rFonts w:ascii="Arial" w:hAnsi="Arial" w:cs="Arial"/>
        </w:rPr>
      </w:pPr>
      <w:r w:rsidRPr="001B47E8">
        <w:rPr>
          <w:rFonts w:ascii="Arial" w:hAnsi="Arial" w:cs="Arial"/>
        </w:rPr>
        <w:t>1° Effectuer les actes d'administration relatifs aux biens indivis ;</w:t>
      </w:r>
    </w:p>
    <w:p w14:paraId="31DE9E78" w14:textId="77777777" w:rsidR="00111FFA" w:rsidRPr="001B47E8" w:rsidRDefault="00111FFA" w:rsidP="00135D23">
      <w:pPr>
        <w:spacing w:after="0"/>
        <w:rPr>
          <w:rFonts w:ascii="Arial" w:hAnsi="Arial" w:cs="Arial"/>
        </w:rPr>
      </w:pPr>
      <w:r w:rsidRPr="001B47E8">
        <w:rPr>
          <w:rFonts w:ascii="Arial" w:hAnsi="Arial" w:cs="Arial"/>
        </w:rPr>
        <w:t>2° Donner à l'un ou plusieurs des indivisaires ou à un tiers un mandat général d'administration ;</w:t>
      </w:r>
    </w:p>
    <w:p w14:paraId="44722BFF" w14:textId="77777777" w:rsidR="00111FFA" w:rsidRPr="001B47E8" w:rsidRDefault="00111FFA" w:rsidP="00135D23">
      <w:pPr>
        <w:spacing w:after="0"/>
        <w:rPr>
          <w:rFonts w:ascii="Arial" w:hAnsi="Arial" w:cs="Arial"/>
        </w:rPr>
      </w:pPr>
      <w:r w:rsidRPr="001B47E8">
        <w:rPr>
          <w:rFonts w:ascii="Arial" w:hAnsi="Arial" w:cs="Arial"/>
        </w:rPr>
        <w:t>3° Vendre les meubles indivis pour payer les dettes et charges de l'indivision ;</w:t>
      </w:r>
    </w:p>
    <w:p w14:paraId="6B0EBDA3" w14:textId="77777777" w:rsidR="00111FFA" w:rsidRPr="001B47E8" w:rsidRDefault="00111FFA" w:rsidP="00135D23">
      <w:pPr>
        <w:spacing w:after="0"/>
        <w:rPr>
          <w:rFonts w:ascii="Arial" w:hAnsi="Arial" w:cs="Arial"/>
        </w:rPr>
      </w:pPr>
      <w:r w:rsidRPr="001B47E8">
        <w:rPr>
          <w:rFonts w:ascii="Arial" w:hAnsi="Arial" w:cs="Arial"/>
        </w:rPr>
        <w:t>4° Conclure et renouveler les baux autres que ceux portant sur un immeuble à usage agricole, commercial, industriel ou artisanal.</w:t>
      </w:r>
    </w:p>
    <w:p w14:paraId="2F8DF48D" w14:textId="77777777" w:rsidR="00111FFA" w:rsidRPr="001B47E8" w:rsidRDefault="00111FFA" w:rsidP="00135D23">
      <w:pPr>
        <w:spacing w:after="0"/>
        <w:rPr>
          <w:rFonts w:ascii="Arial" w:hAnsi="Arial" w:cs="Arial"/>
        </w:rPr>
      </w:pPr>
      <w:r w:rsidRPr="001B47E8">
        <w:rPr>
          <w:rFonts w:ascii="Arial" w:hAnsi="Arial" w:cs="Arial"/>
        </w:rPr>
        <w:t>Ils sont tenus d'en informer les autres indivisaires. A défaut, les décisions prises sont inopposables à ces derniers.</w:t>
      </w:r>
    </w:p>
    <w:p w14:paraId="73EB9312" w14:textId="77777777" w:rsidR="00111FFA" w:rsidRPr="001B47E8" w:rsidRDefault="00111FFA" w:rsidP="00135D23">
      <w:pPr>
        <w:spacing w:after="0"/>
        <w:rPr>
          <w:rFonts w:ascii="Arial" w:hAnsi="Arial" w:cs="Arial"/>
        </w:rPr>
      </w:pPr>
      <w:r w:rsidRPr="001B47E8">
        <w:rPr>
          <w:rFonts w:ascii="Arial" w:hAnsi="Arial" w:cs="Arial"/>
        </w:rPr>
        <w:t>Toutefois, le consentement de tous les indivisaires est requis pour effectuer tout acte qui ne ressortit pas à l'exploitation normale des biens indivis et pour effectuer tout acte de disposition autre que ceux visés au 3°.</w:t>
      </w:r>
    </w:p>
    <w:p w14:paraId="2F760F2E" w14:textId="77777777" w:rsidR="00111FFA" w:rsidRPr="001B47E8" w:rsidRDefault="00111FFA" w:rsidP="00135D23">
      <w:pPr>
        <w:spacing w:after="0"/>
        <w:rPr>
          <w:rFonts w:ascii="Arial" w:hAnsi="Arial" w:cs="Arial"/>
        </w:rPr>
      </w:pPr>
      <w:r w:rsidRPr="001B47E8">
        <w:rPr>
          <w:rFonts w:ascii="Arial" w:hAnsi="Arial" w:cs="Arial"/>
        </w:rPr>
        <w:t>Si un indivisaire prend en main la gestion des biens indivis, au su des autres et néanmoins sans opposition de leur part, il est censé avoir reçu un mandat tacite, couvrant les actes d'administration mais non les actes de disposition ni la conclusion ou le renouvellement des baux.</w:t>
      </w:r>
    </w:p>
    <w:p w14:paraId="534CED77" w14:textId="77777777" w:rsidR="00135D23" w:rsidRPr="001B47E8" w:rsidRDefault="00135D23" w:rsidP="00135D23">
      <w:pPr>
        <w:spacing w:after="0"/>
        <w:rPr>
          <w:rFonts w:ascii="Arial" w:hAnsi="Arial" w:cs="Arial"/>
        </w:rPr>
      </w:pPr>
    </w:p>
    <w:p w14:paraId="4986CE78" w14:textId="48771541" w:rsidR="00135D23" w:rsidRPr="001B47E8" w:rsidRDefault="00135D23" w:rsidP="00135D23">
      <w:pPr>
        <w:spacing w:after="0"/>
        <w:rPr>
          <w:rFonts w:ascii="Arial" w:hAnsi="Arial" w:cs="Arial"/>
        </w:rPr>
      </w:pPr>
      <w:r w:rsidRPr="001B47E8">
        <w:rPr>
          <w:rFonts w:ascii="Arial" w:hAnsi="Arial" w:cs="Arial"/>
          <w:b/>
          <w:bCs/>
        </w:rPr>
        <w:t>Article 815-5 :</w:t>
      </w:r>
      <w:r w:rsidRPr="001B47E8">
        <w:rPr>
          <w:rFonts w:ascii="Arial" w:hAnsi="Arial" w:cs="Arial"/>
        </w:rPr>
        <w:t xml:space="preserve"> Un indivisaire peut être autorisé par justice à passer seul un acte pour lequel le consentement d'un coïndivisaire serait nécessaire, si le refus de celui-ci met en péril l'intérêt commun.</w:t>
      </w:r>
    </w:p>
    <w:p w14:paraId="53ABBC84" w14:textId="77777777" w:rsidR="00135D23" w:rsidRPr="001B47E8" w:rsidRDefault="00135D23" w:rsidP="00135D23">
      <w:pPr>
        <w:spacing w:after="0"/>
        <w:rPr>
          <w:rFonts w:ascii="Arial" w:hAnsi="Arial" w:cs="Arial"/>
        </w:rPr>
      </w:pPr>
      <w:r w:rsidRPr="001B47E8">
        <w:rPr>
          <w:rFonts w:ascii="Arial" w:hAnsi="Arial" w:cs="Arial"/>
        </w:rPr>
        <w:t>Le juge ne peut, à la demande d'un nu-propriétaire, ordonner la vente de la pleine propriété d'un bien grevé d'usufruit contre la volonté de l'usufruitier.</w:t>
      </w:r>
    </w:p>
    <w:p w14:paraId="7E6BF582" w14:textId="77777777" w:rsidR="00135D23" w:rsidRPr="001B47E8" w:rsidRDefault="00135D23" w:rsidP="00135D23">
      <w:pPr>
        <w:spacing w:after="0"/>
        <w:rPr>
          <w:rFonts w:ascii="Arial" w:hAnsi="Arial" w:cs="Arial"/>
        </w:rPr>
      </w:pPr>
      <w:r w:rsidRPr="001B47E8">
        <w:rPr>
          <w:rFonts w:ascii="Arial" w:hAnsi="Arial" w:cs="Arial"/>
        </w:rPr>
        <w:t>L'acte passé dans les conditions fixées par l'autorisation de justice est opposable à l'indivisaire dont le consentement a fait défaut.</w:t>
      </w:r>
    </w:p>
    <w:p w14:paraId="6BA353B5" w14:textId="77777777" w:rsidR="00111FFA" w:rsidRPr="001B47E8" w:rsidRDefault="00111FFA" w:rsidP="00135D23">
      <w:pPr>
        <w:spacing w:after="0"/>
        <w:rPr>
          <w:rFonts w:ascii="Arial" w:hAnsi="Arial" w:cs="Arial"/>
        </w:rPr>
      </w:pPr>
    </w:p>
    <w:p w14:paraId="5331F785" w14:textId="2B0466FE" w:rsidR="00111FFA" w:rsidRPr="001B47E8" w:rsidRDefault="00111FFA" w:rsidP="00135D23">
      <w:pPr>
        <w:spacing w:after="0"/>
        <w:rPr>
          <w:rFonts w:ascii="Arial" w:hAnsi="Arial" w:cs="Arial"/>
        </w:rPr>
      </w:pPr>
      <w:r w:rsidRPr="001B47E8">
        <w:rPr>
          <w:rFonts w:ascii="Arial" w:hAnsi="Arial" w:cs="Arial"/>
          <w:b/>
          <w:bCs/>
        </w:rPr>
        <w:t>Article 1146</w:t>
      </w:r>
      <w:r w:rsidRPr="001B47E8">
        <w:rPr>
          <w:rFonts w:ascii="Arial" w:hAnsi="Arial" w:cs="Arial"/>
        </w:rPr>
        <w:t> : Sont incapables de contracter, dans la mesure définie par la loi :</w:t>
      </w:r>
    </w:p>
    <w:p w14:paraId="3EF1784B" w14:textId="77777777" w:rsidR="00111FFA" w:rsidRPr="001B47E8" w:rsidRDefault="00111FFA" w:rsidP="00135D23">
      <w:pPr>
        <w:spacing w:after="0"/>
        <w:rPr>
          <w:rFonts w:ascii="Arial" w:hAnsi="Arial" w:cs="Arial"/>
        </w:rPr>
      </w:pPr>
      <w:r w:rsidRPr="001B47E8">
        <w:rPr>
          <w:rFonts w:ascii="Arial" w:hAnsi="Arial" w:cs="Arial"/>
        </w:rPr>
        <w:t>1° Les mineurs non émancipés ;</w:t>
      </w:r>
    </w:p>
    <w:p w14:paraId="50A099F4" w14:textId="77777777" w:rsidR="00111FFA" w:rsidRPr="001B47E8" w:rsidRDefault="00111FFA" w:rsidP="00135D23">
      <w:pPr>
        <w:spacing w:after="0"/>
        <w:rPr>
          <w:rFonts w:ascii="Arial" w:hAnsi="Arial" w:cs="Arial"/>
        </w:rPr>
      </w:pPr>
      <w:r w:rsidRPr="001B47E8">
        <w:rPr>
          <w:rFonts w:ascii="Arial" w:hAnsi="Arial" w:cs="Arial"/>
        </w:rPr>
        <w:t>2° Les majeurs protégés au sens de l'article </w:t>
      </w:r>
      <w:hyperlink r:id="rId16" w:tooltip="Code civil - art. 425 (V)" w:history="1">
        <w:r w:rsidRPr="001B47E8">
          <w:rPr>
            <w:rStyle w:val="Lienhypertexte"/>
            <w:rFonts w:ascii="Arial" w:hAnsi="Arial" w:cs="Arial"/>
            <w:color w:val="auto"/>
            <w:u w:val="none"/>
          </w:rPr>
          <w:t>425</w:t>
        </w:r>
      </w:hyperlink>
      <w:r w:rsidRPr="001B47E8">
        <w:rPr>
          <w:rFonts w:ascii="Arial" w:hAnsi="Arial" w:cs="Arial"/>
        </w:rPr>
        <w:t>.</w:t>
      </w:r>
    </w:p>
    <w:p w14:paraId="29F0DA3C" w14:textId="77777777" w:rsidR="00111FFA" w:rsidRPr="001B47E8" w:rsidRDefault="00111FFA" w:rsidP="00135D23">
      <w:pPr>
        <w:spacing w:after="0"/>
        <w:rPr>
          <w:rFonts w:ascii="Arial" w:hAnsi="Arial" w:cs="Arial"/>
        </w:rPr>
      </w:pPr>
    </w:p>
    <w:p w14:paraId="374A0DA8" w14:textId="7C7EDCFD" w:rsidR="00C111CA" w:rsidRPr="001B47E8" w:rsidRDefault="00C111CA" w:rsidP="00135D23">
      <w:pPr>
        <w:spacing w:after="0"/>
        <w:rPr>
          <w:rFonts w:ascii="Arial" w:hAnsi="Arial" w:cs="Arial"/>
        </w:rPr>
      </w:pPr>
      <w:r w:rsidRPr="001B47E8">
        <w:rPr>
          <w:rFonts w:ascii="Arial" w:hAnsi="Arial" w:cs="Arial"/>
          <w:b/>
          <w:bCs/>
        </w:rPr>
        <w:t>Article 1148</w:t>
      </w:r>
      <w:r w:rsidRPr="001B47E8">
        <w:rPr>
          <w:rFonts w:ascii="Arial" w:hAnsi="Arial" w:cs="Arial"/>
        </w:rPr>
        <w:t> : Toute personne incapable de contracter peut néanmoins accomplir seule les actes courants autorisés par la loi ou l'usage, pourvu qu'ils soient conclus à des conditions normales.</w:t>
      </w:r>
    </w:p>
    <w:p w14:paraId="0C00A483" w14:textId="77777777" w:rsidR="00135D23" w:rsidRPr="001B47E8" w:rsidRDefault="00135D23" w:rsidP="00135D23">
      <w:pPr>
        <w:spacing w:after="0"/>
        <w:rPr>
          <w:rFonts w:ascii="Arial" w:hAnsi="Arial" w:cs="Arial"/>
        </w:rPr>
      </w:pPr>
    </w:p>
    <w:p w14:paraId="7E270B2A" w14:textId="08ABC71E" w:rsidR="00A0575A" w:rsidRPr="001B47E8" w:rsidRDefault="00A0575A" w:rsidP="00135D23">
      <w:pPr>
        <w:spacing w:after="0"/>
        <w:rPr>
          <w:rFonts w:ascii="Arial" w:hAnsi="Arial" w:cs="Arial"/>
        </w:rPr>
      </w:pPr>
      <w:r w:rsidRPr="001B47E8">
        <w:rPr>
          <w:rFonts w:ascii="Arial" w:hAnsi="Arial" w:cs="Arial"/>
          <w:b/>
          <w:bCs/>
        </w:rPr>
        <w:t>Article 1156</w:t>
      </w:r>
      <w:r w:rsidRPr="001B47E8">
        <w:rPr>
          <w:rFonts w:ascii="Arial" w:hAnsi="Arial" w:cs="Arial"/>
        </w:rPr>
        <w:t> : L'acte accompli par un représentant sans pouvoir ou au-delà de ses pouvoirs est inopposable au représenté, sauf si le tiers contractant a légitimement cru en la réalité des pouvoirs du représentant, notamment en raison du comportement ou des déclarations du représenté.</w:t>
      </w:r>
    </w:p>
    <w:p w14:paraId="3AE4357B" w14:textId="77777777" w:rsidR="00A0575A" w:rsidRPr="001B47E8" w:rsidRDefault="00A0575A" w:rsidP="00135D23">
      <w:pPr>
        <w:spacing w:after="0"/>
        <w:rPr>
          <w:rFonts w:ascii="Arial" w:hAnsi="Arial" w:cs="Arial"/>
        </w:rPr>
      </w:pPr>
      <w:r w:rsidRPr="001B47E8">
        <w:rPr>
          <w:rFonts w:ascii="Arial" w:hAnsi="Arial" w:cs="Arial"/>
        </w:rPr>
        <w:t>Lorsqu'il ignorait que l'acte était accompli par un représentant sans pouvoir ou au-delà de ses pouvoirs, le tiers contractant peut en invoquer la nullité.</w:t>
      </w:r>
    </w:p>
    <w:p w14:paraId="5FE486D3" w14:textId="77777777" w:rsidR="00A0575A" w:rsidRPr="001B47E8" w:rsidRDefault="00A0575A" w:rsidP="00135D23">
      <w:pPr>
        <w:spacing w:after="0"/>
        <w:rPr>
          <w:rFonts w:ascii="Arial" w:hAnsi="Arial" w:cs="Arial"/>
        </w:rPr>
      </w:pPr>
      <w:r w:rsidRPr="001B47E8">
        <w:rPr>
          <w:rFonts w:ascii="Arial" w:hAnsi="Arial" w:cs="Arial"/>
        </w:rPr>
        <w:t>L'inopposabilité comme la nullité de l'acte ne peuvent plus être invoquées dès lors que le représenté l'a ratifié.</w:t>
      </w:r>
    </w:p>
    <w:p w14:paraId="040F6234" w14:textId="77777777" w:rsidR="00135D23" w:rsidRPr="001B47E8" w:rsidRDefault="00135D23" w:rsidP="00135D23">
      <w:pPr>
        <w:spacing w:after="0"/>
        <w:rPr>
          <w:rFonts w:ascii="Arial" w:hAnsi="Arial" w:cs="Arial"/>
        </w:rPr>
      </w:pPr>
    </w:p>
    <w:p w14:paraId="0A06BA51" w14:textId="5FF44CF3" w:rsidR="00C34C98" w:rsidRPr="001B47E8" w:rsidRDefault="00C34C98" w:rsidP="00135D23">
      <w:pPr>
        <w:spacing w:after="0"/>
        <w:rPr>
          <w:rFonts w:ascii="Arial" w:hAnsi="Arial" w:cs="Arial"/>
        </w:rPr>
      </w:pPr>
      <w:r w:rsidRPr="001B47E8">
        <w:rPr>
          <w:rFonts w:ascii="Arial" w:hAnsi="Arial" w:cs="Arial"/>
          <w:b/>
          <w:bCs/>
        </w:rPr>
        <w:lastRenderedPageBreak/>
        <w:t>Article 1240</w:t>
      </w:r>
      <w:r w:rsidRPr="001B47E8">
        <w:rPr>
          <w:rFonts w:ascii="Arial" w:hAnsi="Arial" w:cs="Arial"/>
        </w:rPr>
        <w:t> : Tout fait quelconque de l'homme, qui cause à autrui un dommage, oblige celui par la faute duquel il est arrivé à le réparer.</w:t>
      </w:r>
    </w:p>
    <w:p w14:paraId="2846A1F3" w14:textId="77777777" w:rsidR="00135D23" w:rsidRPr="001B47E8" w:rsidRDefault="00135D23" w:rsidP="00135D23">
      <w:pPr>
        <w:spacing w:after="0"/>
        <w:rPr>
          <w:rFonts w:ascii="Arial" w:hAnsi="Arial" w:cs="Arial"/>
        </w:rPr>
      </w:pPr>
    </w:p>
    <w:p w14:paraId="23094745" w14:textId="0C5434BF" w:rsidR="00135D23" w:rsidRPr="001B47E8" w:rsidRDefault="00135D23" w:rsidP="00135D23">
      <w:pPr>
        <w:spacing w:after="0"/>
        <w:rPr>
          <w:rFonts w:ascii="Arial" w:hAnsi="Arial" w:cs="Arial"/>
        </w:rPr>
      </w:pPr>
      <w:r w:rsidRPr="001B47E8">
        <w:rPr>
          <w:rFonts w:ascii="Arial" w:hAnsi="Arial" w:cs="Arial"/>
          <w:b/>
          <w:bCs/>
        </w:rPr>
        <w:t>Article 1843-2</w:t>
      </w:r>
      <w:r w:rsidRPr="001B47E8">
        <w:rPr>
          <w:rFonts w:ascii="Arial" w:hAnsi="Arial" w:cs="Arial"/>
        </w:rPr>
        <w:t> : Les droits de chaque associé dans le capital social sont proportionnels à ses apports lors de la constitution de la société ou au cours de l'existence de celle-ci.</w:t>
      </w:r>
    </w:p>
    <w:p w14:paraId="35FFF8FC" w14:textId="77777777" w:rsidR="00135D23" w:rsidRPr="001B47E8" w:rsidRDefault="00135D23" w:rsidP="00135D23">
      <w:pPr>
        <w:spacing w:after="0"/>
        <w:rPr>
          <w:rFonts w:ascii="Arial" w:hAnsi="Arial" w:cs="Arial"/>
        </w:rPr>
      </w:pPr>
      <w:r w:rsidRPr="001B47E8">
        <w:rPr>
          <w:rFonts w:ascii="Arial" w:hAnsi="Arial" w:cs="Arial"/>
        </w:rPr>
        <w:t>Les apports en industrie ne concourent pas à la formation du capital social mais donnent lieu à l'attribution de parts ouvrant droit au partage des bénéfices et de l'actif net, à charge de contribuer aux pertes.</w:t>
      </w:r>
    </w:p>
    <w:p w14:paraId="49755806" w14:textId="77777777" w:rsidR="00135D23" w:rsidRPr="001B47E8" w:rsidRDefault="00135D23" w:rsidP="00135D23">
      <w:pPr>
        <w:spacing w:after="0"/>
        <w:rPr>
          <w:rFonts w:ascii="Arial" w:hAnsi="Arial" w:cs="Arial"/>
        </w:rPr>
      </w:pPr>
    </w:p>
    <w:p w14:paraId="3E66D639" w14:textId="472EE835" w:rsidR="00C34C98" w:rsidRPr="001B47E8" w:rsidRDefault="00C34C98" w:rsidP="00135D23">
      <w:pPr>
        <w:spacing w:after="0"/>
        <w:rPr>
          <w:rFonts w:ascii="Arial" w:hAnsi="Arial" w:cs="Arial"/>
        </w:rPr>
      </w:pPr>
      <w:r w:rsidRPr="001B47E8">
        <w:rPr>
          <w:rFonts w:ascii="Arial" w:hAnsi="Arial" w:cs="Arial"/>
          <w:b/>
          <w:bCs/>
        </w:rPr>
        <w:t>Article 1846</w:t>
      </w:r>
      <w:r w:rsidRPr="001B47E8">
        <w:rPr>
          <w:rFonts w:ascii="Arial" w:hAnsi="Arial" w:cs="Arial"/>
        </w:rPr>
        <w:t> : La société est gérée par une ou plusieurs personnes, associées ou non, nommées soit par les statuts, soit par un acte distinct, soit par une décision des associés.</w:t>
      </w:r>
    </w:p>
    <w:p w14:paraId="0A350C72" w14:textId="77777777" w:rsidR="00C34C98" w:rsidRPr="001B47E8" w:rsidRDefault="00C34C98" w:rsidP="00135D23">
      <w:pPr>
        <w:spacing w:after="0"/>
        <w:rPr>
          <w:rFonts w:ascii="Arial" w:hAnsi="Arial" w:cs="Arial"/>
        </w:rPr>
      </w:pPr>
      <w:r w:rsidRPr="001B47E8">
        <w:rPr>
          <w:rFonts w:ascii="Arial" w:hAnsi="Arial" w:cs="Arial"/>
        </w:rPr>
        <w:t>Les statuts fixent les règles de désignation du ou des gérants et le mode d'organisation de la gérance.</w:t>
      </w:r>
    </w:p>
    <w:p w14:paraId="302B2CAF" w14:textId="77777777" w:rsidR="00C34C98" w:rsidRPr="001B47E8" w:rsidRDefault="00C34C98" w:rsidP="00135D23">
      <w:pPr>
        <w:spacing w:after="0"/>
        <w:rPr>
          <w:rFonts w:ascii="Arial" w:hAnsi="Arial" w:cs="Arial"/>
        </w:rPr>
      </w:pPr>
      <w:r w:rsidRPr="001B47E8">
        <w:rPr>
          <w:rFonts w:ascii="Arial" w:hAnsi="Arial" w:cs="Arial"/>
        </w:rPr>
        <w:t>Sauf disposition contraire des statuts, le gérant est nommé par une décision des associés représentant plus de la moitié des parts sociales.</w:t>
      </w:r>
    </w:p>
    <w:p w14:paraId="035E030E" w14:textId="77777777" w:rsidR="00C34C98" w:rsidRPr="001B47E8" w:rsidRDefault="00C34C98" w:rsidP="00135D23">
      <w:pPr>
        <w:spacing w:after="0"/>
        <w:rPr>
          <w:rFonts w:ascii="Arial" w:hAnsi="Arial" w:cs="Arial"/>
        </w:rPr>
      </w:pPr>
      <w:r w:rsidRPr="001B47E8">
        <w:rPr>
          <w:rFonts w:ascii="Arial" w:hAnsi="Arial" w:cs="Arial"/>
        </w:rPr>
        <w:t>Dans le silence des statuts, et s'il n'en a été décidé autrement par les associés lors de la désignation, les gérants sont réputés nommés pour la durée de la société.</w:t>
      </w:r>
    </w:p>
    <w:p w14:paraId="48A7DC85" w14:textId="77777777" w:rsidR="00C34C98" w:rsidRPr="001B47E8" w:rsidRDefault="00C34C98" w:rsidP="00135D23">
      <w:pPr>
        <w:spacing w:after="0"/>
        <w:rPr>
          <w:rFonts w:ascii="Arial" w:hAnsi="Arial" w:cs="Arial"/>
        </w:rPr>
      </w:pPr>
      <w:r w:rsidRPr="001B47E8">
        <w:rPr>
          <w:rFonts w:ascii="Arial" w:hAnsi="Arial" w:cs="Arial"/>
        </w:rPr>
        <w:t>Si, pour quelque cause que ce soit, la société se trouve dépourvue de gérant, tout associé peut réunir les associés ou, à défaut, demander au président du tribunal statuant sur requête la désignation d'un mandataire chargé de le faire, à seule fin de nommer un ou plusieurs gérants.</w:t>
      </w:r>
    </w:p>
    <w:p w14:paraId="2AA08447" w14:textId="77777777" w:rsidR="00135D23" w:rsidRPr="001B47E8" w:rsidRDefault="00135D23" w:rsidP="00135D23">
      <w:pPr>
        <w:spacing w:after="0"/>
        <w:rPr>
          <w:rFonts w:ascii="Arial" w:hAnsi="Arial" w:cs="Arial"/>
        </w:rPr>
      </w:pPr>
    </w:p>
    <w:p w14:paraId="70EE3525" w14:textId="49F7EEC7" w:rsidR="00C34C98" w:rsidRPr="001B47E8" w:rsidRDefault="00C34C98" w:rsidP="00135D23">
      <w:pPr>
        <w:spacing w:after="0"/>
        <w:rPr>
          <w:rFonts w:ascii="Arial" w:hAnsi="Arial" w:cs="Arial"/>
        </w:rPr>
      </w:pPr>
      <w:r w:rsidRPr="001B47E8">
        <w:rPr>
          <w:rFonts w:ascii="Arial" w:hAnsi="Arial" w:cs="Arial"/>
          <w:b/>
          <w:bCs/>
        </w:rPr>
        <w:t>Article 1849</w:t>
      </w:r>
      <w:r w:rsidRPr="001B47E8">
        <w:rPr>
          <w:rFonts w:ascii="Arial" w:hAnsi="Arial" w:cs="Arial"/>
        </w:rPr>
        <w:t> : Dans les rapports avec les tiers, le gérant engage la société par les actes entrant dans l'objet social.</w:t>
      </w:r>
    </w:p>
    <w:p w14:paraId="7D79B064" w14:textId="77777777" w:rsidR="00C34C98" w:rsidRPr="001B47E8" w:rsidRDefault="00C34C98" w:rsidP="00135D23">
      <w:pPr>
        <w:spacing w:after="0"/>
        <w:rPr>
          <w:rFonts w:ascii="Arial" w:hAnsi="Arial" w:cs="Arial"/>
        </w:rPr>
      </w:pPr>
      <w:r w:rsidRPr="001B47E8">
        <w:rPr>
          <w:rFonts w:ascii="Arial" w:hAnsi="Arial" w:cs="Arial"/>
        </w:rPr>
        <w:t>En cas de pluralité de gérants, ceux-ci détiennent séparément les pouvoirs prévus à l'alinéa précédent. L'opposition formée par un gérant aux actes d'un autre gérant est sans effet à l'égard des tiers, à moins qu'il ne soit établi qu'ils en ont eu connaissance.</w:t>
      </w:r>
    </w:p>
    <w:p w14:paraId="4070F885" w14:textId="77777777" w:rsidR="00C34C98" w:rsidRPr="001B47E8" w:rsidRDefault="00C34C98" w:rsidP="00135D23">
      <w:pPr>
        <w:spacing w:after="0"/>
        <w:rPr>
          <w:rFonts w:ascii="Arial" w:hAnsi="Arial" w:cs="Arial"/>
        </w:rPr>
      </w:pPr>
      <w:r w:rsidRPr="001B47E8">
        <w:rPr>
          <w:rFonts w:ascii="Arial" w:hAnsi="Arial" w:cs="Arial"/>
        </w:rPr>
        <w:t>Les clauses statutaires limitant les pouvoirs des gérants sont inopposables aux tiers.</w:t>
      </w:r>
    </w:p>
    <w:p w14:paraId="616CEB6A" w14:textId="77777777" w:rsidR="00135D23" w:rsidRPr="001B47E8" w:rsidRDefault="00135D23" w:rsidP="00135D23">
      <w:pPr>
        <w:spacing w:after="0"/>
        <w:rPr>
          <w:rFonts w:ascii="Arial" w:hAnsi="Arial" w:cs="Arial"/>
        </w:rPr>
      </w:pPr>
    </w:p>
    <w:p w14:paraId="670E81D8" w14:textId="4BF9F574" w:rsidR="00135D23" w:rsidRPr="001B47E8" w:rsidRDefault="00135D23" w:rsidP="00135D23">
      <w:pPr>
        <w:spacing w:after="0"/>
        <w:rPr>
          <w:rFonts w:ascii="Arial" w:hAnsi="Arial" w:cs="Arial"/>
        </w:rPr>
      </w:pPr>
      <w:r w:rsidRPr="001B47E8">
        <w:rPr>
          <w:rFonts w:ascii="Arial" w:hAnsi="Arial" w:cs="Arial"/>
          <w:b/>
          <w:bCs/>
        </w:rPr>
        <w:t>Article 1852</w:t>
      </w:r>
      <w:r w:rsidRPr="001B47E8">
        <w:rPr>
          <w:rFonts w:ascii="Arial" w:hAnsi="Arial" w:cs="Arial"/>
        </w:rPr>
        <w:t> : Les décisions qui excèdent les pouvoirs reconnus aux gérants sont prises selon les dispositions statutaires ou, en l'absence de telles dispositions, à l'unanimité des associés.</w:t>
      </w:r>
    </w:p>
    <w:p w14:paraId="2557EBD5" w14:textId="77777777" w:rsidR="00C34C98" w:rsidRPr="00C34C98" w:rsidRDefault="00C34C98" w:rsidP="00C34C98">
      <w:pPr>
        <w:rPr>
          <w:b/>
          <w:bCs/>
        </w:rPr>
      </w:pPr>
    </w:p>
    <w:p w14:paraId="37F13769" w14:textId="77777777" w:rsidR="00C34C98" w:rsidRPr="00C34C98" w:rsidRDefault="00C34C98" w:rsidP="00C34C98">
      <w:pPr>
        <w:rPr>
          <w:b/>
          <w:bCs/>
        </w:rPr>
      </w:pPr>
    </w:p>
    <w:p w14:paraId="0CC6D8A7" w14:textId="77777777" w:rsidR="00377DFC" w:rsidRDefault="00377DFC" w:rsidP="00377DFC"/>
    <w:sectPr w:rsidR="00377DFC" w:rsidSect="001A627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F5B7" w14:textId="77777777" w:rsidR="00701305" w:rsidRDefault="00701305" w:rsidP="00FB432F">
      <w:pPr>
        <w:spacing w:after="0" w:line="240" w:lineRule="auto"/>
      </w:pPr>
      <w:r>
        <w:separator/>
      </w:r>
    </w:p>
  </w:endnote>
  <w:endnote w:type="continuationSeparator" w:id="0">
    <w:p w14:paraId="33B5BAC8" w14:textId="77777777" w:rsidR="00701305" w:rsidRDefault="00701305" w:rsidP="00FB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42389"/>
      <w:docPartObj>
        <w:docPartGallery w:val="Page Numbers (Bottom of Page)"/>
        <w:docPartUnique/>
      </w:docPartObj>
    </w:sdtPr>
    <w:sdtContent>
      <w:p w14:paraId="205DF568" w14:textId="577481A6" w:rsidR="00FB432F" w:rsidRDefault="00FB432F">
        <w:pPr>
          <w:pStyle w:val="Pieddepage"/>
          <w:jc w:val="right"/>
        </w:pPr>
        <w:r>
          <w:fldChar w:fldCharType="begin"/>
        </w:r>
        <w:r>
          <w:instrText>PAGE   \* MERGEFORMAT</w:instrText>
        </w:r>
        <w:r>
          <w:fldChar w:fldCharType="separate"/>
        </w:r>
        <w:r>
          <w:t>2</w:t>
        </w:r>
        <w:r>
          <w:fldChar w:fldCharType="end"/>
        </w:r>
      </w:p>
    </w:sdtContent>
  </w:sdt>
  <w:p w14:paraId="7B5ABA23" w14:textId="77777777" w:rsidR="00FB432F" w:rsidRDefault="00FB43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338D" w14:textId="77777777" w:rsidR="00701305" w:rsidRDefault="00701305" w:rsidP="00FB432F">
      <w:pPr>
        <w:spacing w:after="0" w:line="240" w:lineRule="auto"/>
      </w:pPr>
      <w:r>
        <w:separator/>
      </w:r>
    </w:p>
  </w:footnote>
  <w:footnote w:type="continuationSeparator" w:id="0">
    <w:p w14:paraId="2198919E" w14:textId="77777777" w:rsidR="00701305" w:rsidRDefault="00701305" w:rsidP="00FB4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9E5"/>
    <w:multiLevelType w:val="multilevel"/>
    <w:tmpl w:val="8AE4D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8358D"/>
    <w:multiLevelType w:val="multilevel"/>
    <w:tmpl w:val="60E48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56BC0"/>
    <w:multiLevelType w:val="multilevel"/>
    <w:tmpl w:val="EC3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A2BC2"/>
    <w:multiLevelType w:val="multilevel"/>
    <w:tmpl w:val="CB70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B1E8E"/>
    <w:multiLevelType w:val="multilevel"/>
    <w:tmpl w:val="B2EC9CD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543D2"/>
    <w:multiLevelType w:val="multilevel"/>
    <w:tmpl w:val="20D8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2DD3"/>
    <w:multiLevelType w:val="multilevel"/>
    <w:tmpl w:val="4E3840D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7442D"/>
    <w:multiLevelType w:val="multilevel"/>
    <w:tmpl w:val="44D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B3403"/>
    <w:multiLevelType w:val="multilevel"/>
    <w:tmpl w:val="3642CA7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9D205A"/>
    <w:multiLevelType w:val="multilevel"/>
    <w:tmpl w:val="C95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C13F5"/>
    <w:multiLevelType w:val="multilevel"/>
    <w:tmpl w:val="C1B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E5049"/>
    <w:multiLevelType w:val="multilevel"/>
    <w:tmpl w:val="9496CA0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86212"/>
    <w:multiLevelType w:val="multilevel"/>
    <w:tmpl w:val="225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90E49"/>
    <w:multiLevelType w:val="multilevel"/>
    <w:tmpl w:val="8A02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A24E6"/>
    <w:multiLevelType w:val="multilevel"/>
    <w:tmpl w:val="9FEA4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2A6191"/>
    <w:multiLevelType w:val="multilevel"/>
    <w:tmpl w:val="98765AC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246538">
    <w:abstractNumId w:val="0"/>
  </w:num>
  <w:num w:numId="2" w16cid:durableId="318652938">
    <w:abstractNumId w:val="11"/>
  </w:num>
  <w:num w:numId="3" w16cid:durableId="1475902458">
    <w:abstractNumId w:val="8"/>
  </w:num>
  <w:num w:numId="4" w16cid:durableId="603683922">
    <w:abstractNumId w:val="15"/>
  </w:num>
  <w:num w:numId="5" w16cid:durableId="954405476">
    <w:abstractNumId w:val="9"/>
  </w:num>
  <w:num w:numId="6" w16cid:durableId="1031422688">
    <w:abstractNumId w:val="7"/>
  </w:num>
  <w:num w:numId="7" w16cid:durableId="1362323145">
    <w:abstractNumId w:val="12"/>
  </w:num>
  <w:num w:numId="8" w16cid:durableId="843518208">
    <w:abstractNumId w:val="2"/>
  </w:num>
  <w:num w:numId="9" w16cid:durableId="2117169117">
    <w:abstractNumId w:val="5"/>
  </w:num>
  <w:num w:numId="10" w16cid:durableId="857693375">
    <w:abstractNumId w:val="3"/>
  </w:num>
  <w:num w:numId="11" w16cid:durableId="573514587">
    <w:abstractNumId w:val="14"/>
  </w:num>
  <w:num w:numId="12" w16cid:durableId="1394885650">
    <w:abstractNumId w:val="4"/>
  </w:num>
  <w:num w:numId="13" w16cid:durableId="2100133203">
    <w:abstractNumId w:val="6"/>
  </w:num>
  <w:num w:numId="14" w16cid:durableId="1611427742">
    <w:abstractNumId w:val="1"/>
  </w:num>
  <w:num w:numId="15" w16cid:durableId="406920372">
    <w:abstractNumId w:val="13"/>
  </w:num>
  <w:num w:numId="16" w16cid:durableId="531039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D"/>
    <w:rsid w:val="00111FFA"/>
    <w:rsid w:val="00135D23"/>
    <w:rsid w:val="001909E9"/>
    <w:rsid w:val="001A627D"/>
    <w:rsid w:val="001B47E8"/>
    <w:rsid w:val="001B4D4F"/>
    <w:rsid w:val="00203DF8"/>
    <w:rsid w:val="002157DC"/>
    <w:rsid w:val="00247233"/>
    <w:rsid w:val="002A2A7E"/>
    <w:rsid w:val="002D2230"/>
    <w:rsid w:val="00377DFC"/>
    <w:rsid w:val="00377EDD"/>
    <w:rsid w:val="005143A8"/>
    <w:rsid w:val="00675352"/>
    <w:rsid w:val="006A542A"/>
    <w:rsid w:val="00701305"/>
    <w:rsid w:val="007B32E3"/>
    <w:rsid w:val="009833BF"/>
    <w:rsid w:val="00A0575A"/>
    <w:rsid w:val="00A87B52"/>
    <w:rsid w:val="00B26965"/>
    <w:rsid w:val="00B94B2F"/>
    <w:rsid w:val="00BB6CB5"/>
    <w:rsid w:val="00BF4E1B"/>
    <w:rsid w:val="00C111CA"/>
    <w:rsid w:val="00C34C98"/>
    <w:rsid w:val="00C46A72"/>
    <w:rsid w:val="00DE0B61"/>
    <w:rsid w:val="00E82DEC"/>
    <w:rsid w:val="00FB43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B313"/>
  <w15:chartTrackingRefBased/>
  <w15:docId w15:val="{CA7FC0F7-650D-4530-83AB-970C935F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62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A62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A627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A627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A627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A62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62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62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62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627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A627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A627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A627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A627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A62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62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62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627D"/>
    <w:rPr>
      <w:rFonts w:eastAsiaTheme="majorEastAsia" w:cstheme="majorBidi"/>
      <w:color w:val="272727" w:themeColor="text1" w:themeTint="D8"/>
    </w:rPr>
  </w:style>
  <w:style w:type="paragraph" w:styleId="Titre">
    <w:name w:val="Title"/>
    <w:basedOn w:val="Normal"/>
    <w:next w:val="Normal"/>
    <w:link w:val="TitreCar"/>
    <w:uiPriority w:val="10"/>
    <w:qFormat/>
    <w:rsid w:val="001A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62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62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62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627D"/>
    <w:pPr>
      <w:spacing w:before="160"/>
      <w:jc w:val="center"/>
    </w:pPr>
    <w:rPr>
      <w:i/>
      <w:iCs/>
      <w:color w:val="404040" w:themeColor="text1" w:themeTint="BF"/>
    </w:rPr>
  </w:style>
  <w:style w:type="character" w:customStyle="1" w:styleId="CitationCar">
    <w:name w:val="Citation Car"/>
    <w:basedOn w:val="Policepardfaut"/>
    <w:link w:val="Citation"/>
    <w:uiPriority w:val="29"/>
    <w:rsid w:val="001A627D"/>
    <w:rPr>
      <w:i/>
      <w:iCs/>
      <w:color w:val="404040" w:themeColor="text1" w:themeTint="BF"/>
    </w:rPr>
  </w:style>
  <w:style w:type="paragraph" w:styleId="Paragraphedeliste">
    <w:name w:val="List Paragraph"/>
    <w:basedOn w:val="Normal"/>
    <w:uiPriority w:val="34"/>
    <w:qFormat/>
    <w:rsid w:val="001A627D"/>
    <w:pPr>
      <w:ind w:left="720"/>
      <w:contextualSpacing/>
    </w:pPr>
  </w:style>
  <w:style w:type="character" w:styleId="Accentuationintense">
    <w:name w:val="Intense Emphasis"/>
    <w:basedOn w:val="Policepardfaut"/>
    <w:uiPriority w:val="21"/>
    <w:qFormat/>
    <w:rsid w:val="001A627D"/>
    <w:rPr>
      <w:i/>
      <w:iCs/>
      <w:color w:val="2E74B5" w:themeColor="accent1" w:themeShade="BF"/>
    </w:rPr>
  </w:style>
  <w:style w:type="paragraph" w:styleId="Citationintense">
    <w:name w:val="Intense Quote"/>
    <w:basedOn w:val="Normal"/>
    <w:next w:val="Normal"/>
    <w:link w:val="CitationintenseCar"/>
    <w:uiPriority w:val="30"/>
    <w:qFormat/>
    <w:rsid w:val="001A62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A627D"/>
    <w:rPr>
      <w:i/>
      <w:iCs/>
      <w:color w:val="2E74B5" w:themeColor="accent1" w:themeShade="BF"/>
    </w:rPr>
  </w:style>
  <w:style w:type="character" w:styleId="Rfrenceintense">
    <w:name w:val="Intense Reference"/>
    <w:basedOn w:val="Policepardfaut"/>
    <w:uiPriority w:val="32"/>
    <w:qFormat/>
    <w:rsid w:val="001A627D"/>
    <w:rPr>
      <w:b/>
      <w:bCs/>
      <w:smallCaps/>
      <w:color w:val="2E74B5" w:themeColor="accent1" w:themeShade="BF"/>
      <w:spacing w:val="5"/>
    </w:rPr>
  </w:style>
  <w:style w:type="character" w:styleId="Lienhypertexte">
    <w:name w:val="Hyperlink"/>
    <w:basedOn w:val="Policepardfaut"/>
    <w:uiPriority w:val="99"/>
    <w:unhideWhenUsed/>
    <w:rsid w:val="00C111CA"/>
    <w:rPr>
      <w:color w:val="0563C1" w:themeColor="hyperlink"/>
      <w:u w:val="single"/>
    </w:rPr>
  </w:style>
  <w:style w:type="character" w:styleId="Mentionnonrsolue">
    <w:name w:val="Unresolved Mention"/>
    <w:basedOn w:val="Policepardfaut"/>
    <w:uiPriority w:val="99"/>
    <w:semiHidden/>
    <w:unhideWhenUsed/>
    <w:rsid w:val="00C111CA"/>
    <w:rPr>
      <w:color w:val="605E5C"/>
      <w:shd w:val="clear" w:color="auto" w:fill="E1DFDD"/>
    </w:rPr>
  </w:style>
  <w:style w:type="paragraph" w:styleId="En-tte">
    <w:name w:val="header"/>
    <w:basedOn w:val="Normal"/>
    <w:link w:val="En-tteCar"/>
    <w:uiPriority w:val="99"/>
    <w:unhideWhenUsed/>
    <w:rsid w:val="00FB432F"/>
    <w:pPr>
      <w:tabs>
        <w:tab w:val="center" w:pos="4536"/>
        <w:tab w:val="right" w:pos="9072"/>
      </w:tabs>
      <w:spacing w:after="0" w:line="240" w:lineRule="auto"/>
    </w:pPr>
  </w:style>
  <w:style w:type="character" w:customStyle="1" w:styleId="En-tteCar">
    <w:name w:val="En-tête Car"/>
    <w:basedOn w:val="Policepardfaut"/>
    <w:link w:val="En-tte"/>
    <w:uiPriority w:val="99"/>
    <w:rsid w:val="00FB432F"/>
  </w:style>
  <w:style w:type="paragraph" w:styleId="Pieddepage">
    <w:name w:val="footer"/>
    <w:basedOn w:val="Normal"/>
    <w:link w:val="PieddepageCar"/>
    <w:uiPriority w:val="99"/>
    <w:unhideWhenUsed/>
    <w:rsid w:val="00FB43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6658">
      <w:bodyDiv w:val="1"/>
      <w:marLeft w:val="0"/>
      <w:marRight w:val="0"/>
      <w:marTop w:val="0"/>
      <w:marBottom w:val="0"/>
      <w:divBdr>
        <w:top w:val="none" w:sz="0" w:space="0" w:color="auto"/>
        <w:left w:val="none" w:sz="0" w:space="0" w:color="auto"/>
        <w:bottom w:val="none" w:sz="0" w:space="0" w:color="auto"/>
        <w:right w:val="none" w:sz="0" w:space="0" w:color="auto"/>
      </w:divBdr>
      <w:divsChild>
        <w:div w:id="112781934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4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109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78731">
          <w:marLeft w:val="0"/>
          <w:marRight w:val="0"/>
          <w:marTop w:val="0"/>
          <w:marBottom w:val="0"/>
          <w:divBdr>
            <w:top w:val="none" w:sz="0" w:space="0" w:color="auto"/>
            <w:left w:val="none" w:sz="0" w:space="0" w:color="auto"/>
            <w:bottom w:val="none" w:sz="0" w:space="0" w:color="auto"/>
            <w:right w:val="none" w:sz="0" w:space="0" w:color="auto"/>
          </w:divBdr>
          <w:divsChild>
            <w:div w:id="7527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30857">
      <w:bodyDiv w:val="1"/>
      <w:marLeft w:val="0"/>
      <w:marRight w:val="0"/>
      <w:marTop w:val="0"/>
      <w:marBottom w:val="0"/>
      <w:divBdr>
        <w:top w:val="none" w:sz="0" w:space="0" w:color="auto"/>
        <w:left w:val="none" w:sz="0" w:space="0" w:color="auto"/>
        <w:bottom w:val="none" w:sz="0" w:space="0" w:color="auto"/>
        <w:right w:val="none" w:sz="0" w:space="0" w:color="auto"/>
      </w:divBdr>
    </w:div>
    <w:div w:id="2014801837">
      <w:bodyDiv w:val="1"/>
      <w:marLeft w:val="0"/>
      <w:marRight w:val="0"/>
      <w:marTop w:val="0"/>
      <w:marBottom w:val="0"/>
      <w:divBdr>
        <w:top w:val="none" w:sz="0" w:space="0" w:color="auto"/>
        <w:left w:val="none" w:sz="0" w:space="0" w:color="auto"/>
        <w:bottom w:val="none" w:sz="0" w:space="0" w:color="auto"/>
        <w:right w:val="none" w:sz="0" w:space="0" w:color="auto"/>
      </w:divBdr>
      <w:divsChild>
        <w:div w:id="346252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7317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543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83113">
          <w:marLeft w:val="0"/>
          <w:marRight w:val="0"/>
          <w:marTop w:val="0"/>
          <w:marBottom w:val="0"/>
          <w:divBdr>
            <w:top w:val="none" w:sz="0" w:space="0" w:color="auto"/>
            <w:left w:val="none" w:sz="0" w:space="0" w:color="auto"/>
            <w:bottom w:val="none" w:sz="0" w:space="0" w:color="auto"/>
            <w:right w:val="none" w:sz="0" w:space="0" w:color="auto"/>
          </w:divBdr>
          <w:divsChild>
            <w:div w:id="14658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47627&amp;dateTexte=&amp;categorieLien=cid" TargetMode="External"/><Relationship Id="rId13" Type="http://schemas.openxmlformats.org/officeDocument/2006/relationships/hyperlink" Target="https://www.legifrance.gouv.fr/affichCodeArticle.do?cidTexte=LEGITEXT000006070721&amp;idArticle=LEGIARTI000006444494&amp;dateTexte=&amp;categorieLien=c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article_lc/LEGIARTI000006427773" TargetMode="External"/><Relationship Id="rId12" Type="http://schemas.openxmlformats.org/officeDocument/2006/relationships/hyperlink" Target="https://www.legifrance.gouv.fr/codes/article_lc/LEGIARTI00000643236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france.gouv.fr/affichCodeArticle.do?cidTexte=LEGITEXT000006070721&amp;idArticle=LEGIARTI000006427434&amp;dateTexte=&amp;categorieLien=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codes/article_lc/LEGIARTI000006432351" TargetMode="External"/><Relationship Id="rId5" Type="http://schemas.openxmlformats.org/officeDocument/2006/relationships/footnotes" Target="footnotes.xml"/><Relationship Id="rId15" Type="http://schemas.openxmlformats.org/officeDocument/2006/relationships/hyperlink" Target="https://www.legifrance.gouv.fr/codes/article_lc/LEGIARTI000006432378" TargetMode="External"/><Relationship Id="rId10" Type="http://schemas.openxmlformats.org/officeDocument/2006/relationships/hyperlink" Target="https://www.legifrance.gouv.fr/affichCodeArticle.do?cidTexte=LEGITEXT000006070721&amp;idArticle=LEGIARTI000006447327&amp;dateTexte=&amp;categorieLien=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721&amp;idArticle=LEGIARTI000032042607&amp;dateTexte=&amp;categorieLien=id" TargetMode="External"/><Relationship Id="rId14" Type="http://schemas.openxmlformats.org/officeDocument/2006/relationships/hyperlink" Target="https://www.legifrance.gouv.fr/codes/article_lc/LEGIARTI0000064323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2518</Words>
  <Characters>13853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VINCENT</dc:creator>
  <cp:keywords/>
  <dc:description/>
  <cp:lastModifiedBy>vincent klein</cp:lastModifiedBy>
  <cp:revision>24</cp:revision>
  <dcterms:created xsi:type="dcterms:W3CDTF">2026-03-21T10:09:00Z</dcterms:created>
  <dcterms:modified xsi:type="dcterms:W3CDTF">2026-03-22T20:38:00Z</dcterms:modified>
</cp:coreProperties>
</file>